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rPr>
        <w:t xml:space="preserve">项目名称：</w:t>
      </w:r>
      <w:r>
        <w:rPr>
          <w:rFonts w:hint="eastAsia" w:ascii="Arial" w:hAnsi="Arial"/>
          <w:b/>
          <w:bCs/>
          <w:color w:val="000000"/>
          <w:sz w:val="32"/>
          <w:szCs w:val="24"/>
          <w:highlight w:val="none"/>
        </w:rPr>
        <w:t xml:space="preserve">连云港开放大学S+Cloud数智企业经营管理沙盘及电脑系统采购</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项目编号：JSZC-320700-JZCG-G2025-0179</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2025年</w:t>
      </w:r>
      <w:r>
        <w:rPr>
          <w:rFonts w:hint="eastAsia" w:ascii="Arial" w:hAnsi="Arial"/>
          <w:b/>
          <w:bCs/>
          <w:color w:val="000000"/>
          <w:sz w:val="32"/>
          <w:szCs w:val="24"/>
          <w:highlight w:val="none"/>
        </w:rPr>
        <w:t xml:space="preserve">11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73"/>
      </w:pPr>
      <w:r>
        <w:rPr>
          <w:rFonts w:hint="eastAsia"/>
        </w:rPr>
        <w:t xml:space="preserve">目  录</w:t>
      </w:r>
      <w:r/>
    </w:p>
    <w:p>
      <w:pPr>
        <w:pStyle w:val="873"/>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873"/>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873"/>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p>
    <w:p>
      <w:pPr>
        <w:pStyle w:val="873"/>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40</w:t>
      </w:r>
      <w:r>
        <w:rPr>
          <w:sz w:val="36"/>
          <w:szCs w:val="36"/>
        </w:rPr>
        <w:fldChar w:fldCharType="end"/>
      </w:r>
      <w:r/>
    </w:p>
    <w:p>
      <w:pPr>
        <w:pStyle w:val="873"/>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61</w:t>
      </w:r>
      <w:r>
        <w:rPr>
          <w:sz w:val="36"/>
          <w:szCs w:val="36"/>
        </w:rPr>
        <w:fldChar w:fldCharType="end"/>
      </w:r>
      <w:r/>
    </w:p>
    <w:p>
      <w:pPr>
        <w:pStyle w:val="873"/>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63</w:t>
      </w:r>
      <w:r>
        <w:rPr>
          <w:sz w:val="36"/>
          <w:szCs w:val="36"/>
        </w:rPr>
        <w:fldChar w:fldCharType="end"/>
      </w:r>
      <w:r/>
    </w:p>
    <w:p>
      <w:pPr>
        <w:jc w:val="left"/>
        <w:widowControl/>
      </w:pPr>
      <w:r>
        <w:fldChar w:fldCharType="end"/>
      </w:r>
      <w:r>
        <w:br w:type="page" w:clear="all"/>
      </w:r>
      <w:r/>
    </w:p>
    <w:p>
      <w:pPr>
        <w:pStyle w:val="84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highlight w:val="none"/>
        </w:rPr>
        <w:t xml:space="preserve">受连云港开放大学的委托，连云港市公共资源交易中心就</w:t>
      </w:r>
      <w:r>
        <w:rPr>
          <w:rFonts w:hint="eastAsia"/>
          <w:b w:val="0"/>
          <w:bCs w:val="0"/>
          <w:sz w:val="24"/>
          <w:szCs w:val="24"/>
          <w:highlight w:val="none"/>
        </w:rPr>
        <w:t xml:space="preserve">连云港开放大学S+Cloud数智企业经营管理沙盘及电脑系统采购</w:t>
      </w:r>
      <w:r>
        <w:rPr>
          <w:rFonts w:hint="eastAsia"/>
          <w:sz w:val="24"/>
          <w:szCs w:val="24"/>
          <w:highlight w:val="none"/>
        </w:rPr>
        <w:t xml:space="preserve">项目（JSZC-320700-JZCG-G2025-0179）进行公开招标采购，欢迎符合条件的供应商投</w:t>
      </w:r>
      <w:r>
        <w:rPr>
          <w:rFonts w:hint="eastAsia"/>
          <w:sz w:val="24"/>
          <w:szCs w:val="24"/>
        </w:rPr>
        <w:t xml:space="preserve">标。</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highlight w:val="none"/>
              </w:rPr>
            </w:pPr>
            <w:r>
              <w:rPr>
                <w:rFonts w:hint="eastAsia"/>
                <w:b w:val="0"/>
                <w:bCs w:val="0"/>
                <w:sz w:val="24"/>
                <w:szCs w:val="24"/>
                <w:highlight w:val="none"/>
              </w:rPr>
              <w:t xml:space="preserve">连云港开放大学S+Cloud数智企业经营管理沙盘及电脑系统采购</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于2025年12月19日9:00:00（北京时间）前递交（上传）投标文件。</w:t>
            </w:r>
            <w:r/>
          </w:p>
        </w:tc>
      </w:tr>
    </w:tbl>
    <w:p>
      <w:pPr>
        <w:pStyle w:val="84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项目编号：JSZC-320700-JZCG-G2025-0179</w:t>
      </w:r>
      <w:r/>
    </w:p>
    <w:p>
      <w:pPr>
        <w:ind w:firstLine="480"/>
        <w:jc w:val="left"/>
        <w:spacing w:line="500" w:lineRule="exact"/>
        <w:rPr>
          <w:sz w:val="24"/>
          <w:szCs w:val="24"/>
        </w:rPr>
      </w:pPr>
      <w:r>
        <w:rPr>
          <w:rFonts w:hint="eastAsia"/>
          <w:sz w:val="24"/>
          <w:szCs w:val="24"/>
        </w:rPr>
        <w:t xml:space="preserve">项目名称：连云港开放大学S+Cloud数智企业经营管理沙盘及电脑系统采购</w:t>
      </w:r>
      <w:r/>
    </w:p>
    <w:p>
      <w:pPr>
        <w:ind w:firstLine="480"/>
        <w:jc w:val="left"/>
        <w:spacing w:line="500" w:lineRule="exact"/>
        <w:rPr>
          <w:color w:val="000000"/>
          <w:sz w:val="24"/>
          <w:szCs w:val="24"/>
        </w:rPr>
      </w:pPr>
      <w:r>
        <w:rPr>
          <w:rFonts w:hint="eastAsia"/>
          <w:color w:val="000000"/>
          <w:sz w:val="24"/>
          <w:szCs w:val="24"/>
        </w:rPr>
        <w:t xml:space="preserve">预算金额：132.9999万元。</w:t>
      </w:r>
      <w:r/>
    </w:p>
    <w:p>
      <w:pPr>
        <w:ind w:firstLine="480"/>
        <w:jc w:val="left"/>
        <w:spacing w:line="500" w:lineRule="exact"/>
        <w:rPr>
          <w:color w:val="000000"/>
          <w:sz w:val="24"/>
          <w:szCs w:val="24"/>
        </w:rPr>
      </w:pPr>
      <w:r>
        <w:rPr>
          <w:rFonts w:hint="eastAsia"/>
          <w:color w:val="000000"/>
          <w:sz w:val="24"/>
          <w:szCs w:val="24"/>
        </w:rPr>
        <w:t xml:space="preserve">采购方式：公开招标</w:t>
      </w:r>
      <w:r/>
    </w:p>
    <w:p>
      <w:pPr>
        <w:pStyle w:val="857"/>
        <w:ind w:firstLine="480"/>
        <w:rPr>
          <w:rFonts w:hint="eastAsia"/>
          <w:color w:val="000000"/>
          <w:sz w:val="24"/>
          <w:szCs w:val="24"/>
        </w:rPr>
      </w:pPr>
      <w:r>
        <w:rPr>
          <w:rFonts w:hint="eastAsia"/>
          <w:color w:val="000000"/>
          <w:sz w:val="24"/>
        </w:rPr>
        <w:t xml:space="preserve">采购需求：</w:t>
      </w:r>
      <w:r>
        <w:rPr>
          <w:rFonts w:hint="eastAsia"/>
          <w:color w:val="000000"/>
          <w:sz w:val="24"/>
          <w:szCs w:val="24"/>
        </w:rPr>
        <w:t xml:space="preserve">为建设健全连云港开放大学会计模拟实验室，本项目计划采购S+Cloud数智企业经营管理沙盘1套及</w:t>
      </w:r>
      <w:r>
        <w:rPr>
          <w:rFonts w:hint="eastAsia" w:ascii="宋体" w:hAnsi="宋体" w:cs="宋体"/>
          <w:color w:val="000000"/>
          <w:sz w:val="24"/>
          <w:szCs w:val="24"/>
        </w:rPr>
        <w:t xml:space="preserve">会计模拟专业机房电脑220台。具体要求详见第四章采购需求。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Pr>
      <w:r>
        <w:rPr>
          <w:rFonts w:hint="eastAsia"/>
          <w:sz w:val="24"/>
          <w:szCs w:val="24"/>
        </w:rPr>
        <w:t xml:space="preserve">合同履行期限：</w:t>
      </w:r>
      <w:bookmarkStart w:id="1" w:name="OLE_LINK86"/>
      <w:r/>
      <w:bookmarkStart w:id="2" w:name="OLE_LINK87"/>
      <w:r>
        <w:rPr>
          <w:rFonts w:hint="eastAsia"/>
          <w:sz w:val="24"/>
          <w:szCs w:val="24"/>
          <w:highlight w:val="none"/>
        </w:rPr>
        <w:t xml:space="preserve">合同签订后25天内完成安装调试，达到预期效果。</w:t>
      </w:r>
      <w:bookmarkEnd w:id="1"/>
      <w:r/>
      <w:bookmarkEnd w:id="2"/>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4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color w:val="000000"/>
          <w:sz w:val="24"/>
        </w:rPr>
        <w:t xml:space="preserve">资格审查现场查询“信用中国”网站（www.creditchina.gov.cn），无被列入失信被执行人、重大</w:t>
      </w:r>
      <w:r>
        <w:rPr>
          <w:color w:val="000000"/>
          <w:sz w:val="24"/>
        </w:rPr>
        <w:t xml:space="preserve">税收违法</w:t>
      </w:r>
      <w:r>
        <w:rPr>
          <w:rFonts w:hint="eastAsia"/>
          <w:color w:val="000000"/>
          <w:sz w:val="24"/>
        </w:rPr>
        <w:t xml:space="preserve">案件当事人</w:t>
      </w:r>
      <w:r>
        <w:rPr>
          <w:color w:val="000000"/>
          <w:sz w:val="24"/>
        </w:rPr>
        <w:t xml:space="preserve">名单</w:t>
      </w:r>
      <w:r>
        <w:rPr>
          <w:rFonts w:hint="eastAsia"/>
          <w:color w:val="000000"/>
          <w:sz w:val="24"/>
        </w:rPr>
        <w:t xml:space="preserve">、政府采购严重失信行为记录名单及其他不符合《中华人民共和国政府采购法》第二十二条规定条件的信用记录。（投标文件中无需提供证明材料）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4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w:t>
      </w:r>
      <w:r>
        <w:rPr>
          <w:rFonts w:hint="eastAsia" w:ascii="宋体" w:hAnsi="宋体"/>
          <w:sz w:val="24"/>
          <w:szCs w:val="24"/>
          <w:highlight w:val="none"/>
        </w:rPr>
        <w:t xml:space="preserve">自招标文件公告发布之日起5个工作日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4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none"/>
        </w:rPr>
        <w:t xml:space="preserve">：2025年12月19日9:00:00（北</w:t>
      </w:r>
      <w:r>
        <w:rPr>
          <w:rFonts w:hint="eastAsia"/>
          <w:sz w:val="24"/>
          <w:szCs w:val="24"/>
        </w:rPr>
        <w:t xml:space="preserve">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4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4"/>
        <w:spacing w:before="0" w:after="0" w:line="360" w:lineRule="auto"/>
        <w:rPr>
          <w:rFonts w:hint="eastAsia"/>
          <w:sz w:val="24"/>
          <w:szCs w:val="24"/>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sz w:val="24"/>
          <w:szCs w:val="24"/>
        </w:rPr>
      </w:pPr>
      <w:r>
        <w:rPr>
          <w:rFonts w:hint="eastAsia"/>
          <w:sz w:val="24"/>
          <w:szCs w:val="24"/>
        </w:rPr>
        <w:t xml:space="preserve">名    称：连云港开放大学</w:t>
      </w:r>
      <w:r/>
    </w:p>
    <w:p>
      <w:pPr>
        <w:ind w:firstLine="480"/>
        <w:jc w:val="left"/>
        <w:spacing w:line="500" w:lineRule="exact"/>
        <w:rPr>
          <w:sz w:val="24"/>
          <w:szCs w:val="24"/>
        </w:rPr>
      </w:pPr>
      <w:r>
        <w:rPr>
          <w:rFonts w:hint="eastAsia"/>
          <w:sz w:val="24"/>
          <w:szCs w:val="24"/>
        </w:rPr>
        <w:t xml:space="preserve">地    址：连云港市海州区苍梧路39号</w:t>
      </w:r>
      <w:r/>
    </w:p>
    <w:p>
      <w:pPr>
        <w:ind w:firstLine="480"/>
        <w:jc w:val="left"/>
        <w:spacing w:line="500" w:lineRule="exact"/>
        <w:rPr>
          <w:rFonts w:hint="eastAsia"/>
          <w:sz w:val="24"/>
          <w:szCs w:val="24"/>
        </w:rPr>
      </w:pPr>
      <w:r>
        <w:rPr>
          <w:rFonts w:hint="eastAsia"/>
          <w:sz w:val="24"/>
          <w:szCs w:val="24"/>
        </w:rPr>
        <w:t xml:space="preserve">联 系 人：赵老师</w:t>
      </w:r>
      <w:r/>
    </w:p>
    <w:p>
      <w:pPr>
        <w:ind w:firstLine="480"/>
        <w:jc w:val="left"/>
        <w:spacing w:line="500" w:lineRule="exact"/>
        <w:rPr>
          <w:sz w:val="24"/>
          <w:szCs w:val="24"/>
        </w:rPr>
      </w:pPr>
      <w:r>
        <w:rPr>
          <w:rFonts w:hint="eastAsia"/>
          <w:sz w:val="24"/>
          <w:szCs w:val="24"/>
        </w:rPr>
        <w:t xml:space="preserve">联系电话：</w:t>
      </w:r>
      <w:r>
        <w:rPr>
          <w:rFonts w:hint="eastAsia" w:ascii="宋体" w:hAnsi="宋体"/>
          <w:sz w:val="24"/>
          <w:szCs w:val="24"/>
        </w:rPr>
        <w:t xml:space="preserve">0518-85820319</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址：连云港市海州区凌洲东路9号2号楼423室</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sz w:val="24"/>
          <w:szCs w:val="24"/>
          <w:lang w:val="en-US" w:eastAsia="zh-CN"/>
        </w:rPr>
        <w:t xml:space="preserve">孔庆阳</w:t>
      </w:r>
      <w:r/>
    </w:p>
    <w:p>
      <w:pPr>
        <w:ind w:firstLine="480"/>
        <w:jc w:val="left"/>
        <w:spacing w:line="500" w:lineRule="exact"/>
        <w:rPr>
          <w:rFonts w:eastAsia="宋体"/>
          <w:sz w:val="24"/>
          <w:szCs w:val="24"/>
          <w:lang w:val="en-US" w:eastAsia="zh-CN"/>
        </w:rPr>
      </w:pPr>
      <w:r>
        <w:rPr>
          <w:rFonts w:hint="eastAsia"/>
          <w:sz w:val="24"/>
          <w:szCs w:val="24"/>
        </w:rPr>
        <w:t xml:space="preserve">联系电话：0518-</w:t>
      </w:r>
      <w:r>
        <w:rPr>
          <w:rFonts w:hint="eastAsia"/>
          <w:sz w:val="24"/>
          <w:szCs w:val="24"/>
          <w:lang w:val="en-US" w:eastAsia="zh-CN"/>
        </w:rPr>
        <w:t xml:space="preserve">82256586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宋体"/>
          <w:sz w:val="24"/>
          <w:szCs w:val="24"/>
          <w:lang w:eastAsia="zh-CN"/>
        </w:rPr>
      </w:pPr>
      <w:r>
        <w:rPr>
          <w:rFonts w:hint="eastAsia"/>
          <w:sz w:val="24"/>
          <w:szCs w:val="24"/>
        </w:rPr>
        <w:t xml:space="preserve">项目联系人：</w:t>
      </w:r>
      <w:r>
        <w:rPr>
          <w:rFonts w:hint="eastAsia"/>
          <w:sz w:val="24"/>
          <w:szCs w:val="24"/>
          <w:lang w:val="en-US" w:eastAsia="zh-CN"/>
        </w:rPr>
        <w:t xml:space="preserve">孔庆阳</w:t>
      </w:r>
      <w:r/>
    </w:p>
    <w:p>
      <w:pPr>
        <w:ind w:firstLine="480"/>
        <w:jc w:val="left"/>
        <w:spacing w:line="500" w:lineRule="exact"/>
        <w:rPr>
          <w:rFonts w:hint="eastAsia" w:ascii="宋体" w:hAnsi="宋体" w:cs="宋体"/>
          <w:sz w:val="24"/>
          <w:szCs w:val="24"/>
        </w:rPr>
      </w:pPr>
      <w:r>
        <w:rPr>
          <w:rFonts w:hint="eastAsia" w:ascii="宋体" w:hAnsi="宋体" w:cs="宋体"/>
          <w:sz w:val="24"/>
          <w:szCs w:val="24"/>
        </w:rPr>
        <w:t xml:space="preserve">电      话：</w:t>
      </w:r>
      <w:r>
        <w:rPr>
          <w:rFonts w:hint="eastAsia"/>
          <w:sz w:val="24"/>
          <w:szCs w:val="24"/>
        </w:rPr>
        <w:t xml:space="preserve">0518-</w:t>
      </w:r>
      <w:r>
        <w:rPr>
          <w:rFonts w:hint="eastAsia"/>
          <w:sz w:val="24"/>
          <w:szCs w:val="24"/>
          <w:lang w:val="en-US" w:eastAsia="zh-CN"/>
        </w:rPr>
        <w:t xml:space="preserve">82256586</w:t>
      </w:r>
      <w:r/>
    </w:p>
    <w:p>
      <w:pPr>
        <w:jc w:val="left"/>
        <w:widowControl/>
        <w:rPr>
          <w:rFonts w:ascii="黑体" w:hAnsi="黑体" w:eastAsia="黑体"/>
          <w:bCs/>
          <w:sz w:val="44"/>
          <w:szCs w:val="44"/>
        </w:rPr>
      </w:pPr>
      <w:r>
        <w:rPr>
          <w:rFonts w:ascii="黑体" w:hAnsi="黑体" w:eastAsia="黑体"/>
          <w:b/>
        </w:rPr>
        <w:br w:type="page" w:clear="all"/>
      </w:r>
      <w:r/>
    </w:p>
    <w:p>
      <w:pPr>
        <w:pStyle w:val="843"/>
        <w:jc w:val="center"/>
        <w:spacing w:before="156" w:after="156" w:line="360" w:lineRule="auto"/>
        <w:rPr>
          <w:rFonts w:ascii="黑体" w:hAnsi="黑体" w:eastAsia="黑体"/>
          <w:b w:val="0"/>
        </w:rPr>
      </w:pPr>
      <w:r/>
      <w:bookmarkStart w:id="3" w:name="_Toc165205795"/>
      <w:r>
        <w:rPr>
          <w:rFonts w:hint="eastAsia" w:ascii="黑体" w:hAnsi="黑体" w:eastAsia="黑体"/>
          <w:b w:val="0"/>
        </w:rPr>
        <w:t xml:space="preserve">第二章  投标人须知</w:t>
      </w:r>
      <w:bookmarkEnd w:id="3"/>
      <w:r/>
      <w:r/>
    </w:p>
    <w:p>
      <w:pPr>
        <w:pStyle w:val="844"/>
        <w:spacing w:before="0" w:after="0" w:line="360" w:lineRule="auto"/>
        <w:rPr>
          <w:rFonts w:ascii="黑体" w:hAnsi="黑体" w:eastAsia="黑体"/>
          <w:b w:val="0"/>
        </w:rPr>
      </w:pPr>
      <w:r>
        <w:rPr>
          <w:rFonts w:hint="eastAsia" w:ascii="黑体" w:hAnsi="黑体" w:eastAsia="黑体"/>
          <w:b w:val="0"/>
        </w:rPr>
        <w:t xml:space="preserve">一、总则</w:t>
      </w:r>
      <w:r/>
    </w:p>
    <w:p>
      <w:pPr>
        <w:pStyle w:val="84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单位负责人为同一人或者存在直接控股、管理关系的不同供应商，不得参加同一合同下的政府采购活动。</w:t>
      </w:r>
      <w:r/>
    </w:p>
    <w:p>
      <w:pPr>
        <w:pStyle w:val="84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5"/>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4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4"/>
        <w:spacing w:before="0" w:after="0" w:line="360" w:lineRule="auto"/>
        <w:rPr>
          <w:rFonts w:ascii="黑体" w:hAnsi="黑体" w:eastAsia="黑体"/>
          <w:b w:val="0"/>
        </w:rPr>
      </w:pPr>
      <w:r>
        <w:rPr>
          <w:rFonts w:hint="eastAsia" w:ascii="黑体" w:hAnsi="黑体" w:eastAsia="黑体"/>
          <w:b w:val="0"/>
        </w:rPr>
        <w:t xml:space="preserve">二、招标文件</w:t>
      </w:r>
      <w:r/>
    </w:p>
    <w:p>
      <w:pPr>
        <w:pStyle w:val="84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4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4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5"/>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5"/>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4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4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4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4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5"/>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4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45"/>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color w:val="000000"/>
          <w:sz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rFonts w:hint="eastAsia" w:cs="宋体"/>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sz w:val="24"/>
          <w:szCs w:val="24"/>
        </w:rPr>
      </w:pPr>
      <w:r>
        <w:rPr>
          <w:rFonts w:hint="eastAsia"/>
          <w:sz w:val="24"/>
          <w:szCs w:val="24"/>
        </w:rPr>
        <w:t xml:space="preserve">26.3 政府采购异常低价审查：</w:t>
      </w:r>
      <w:r/>
    </w:p>
    <w:p>
      <w:pPr>
        <w:ind w:firstLine="480"/>
        <w:jc w:val="left"/>
        <w:spacing w:line="500" w:lineRule="exact"/>
        <w:rPr>
          <w:rFonts w:hint="eastAsia"/>
          <w:sz w:val="24"/>
          <w:szCs w:val="24"/>
        </w:rPr>
      </w:pPr>
      <w:r>
        <w:rPr>
          <w:rFonts w:hint="eastAsia"/>
          <w:sz w:val="24"/>
          <w:szCs w:val="24"/>
        </w:rPr>
        <w:t xml:space="preserve">（1）评审过程中出现下列情形之一的，评审委员会应当启动异常低价投标（响应）审查程序：</w:t>
      </w:r>
      <w:r/>
    </w:p>
    <w:p>
      <w:pPr>
        <w:ind w:firstLine="480"/>
        <w:jc w:val="left"/>
        <w:spacing w:line="500" w:lineRule="exact"/>
        <w:rPr>
          <w:rFonts w:hint="eastAsia"/>
          <w:sz w:val="24"/>
          <w:szCs w:val="24"/>
        </w:rPr>
      </w:pPr>
      <w:r>
        <w:rPr>
          <w:rFonts w:hint="eastAsia"/>
          <w:sz w:val="24"/>
          <w:szCs w:val="24"/>
        </w:rPr>
        <w:t xml:space="preserve">①投标（响应）报价低于采购项目预算50%的，即投标（响应）报价&lt;采购项目预算×50%；</w:t>
      </w:r>
      <w:r/>
    </w:p>
    <w:p>
      <w:pPr>
        <w:ind w:firstLine="480"/>
        <w:jc w:val="left"/>
        <w:spacing w:line="500" w:lineRule="exact"/>
        <w:rPr>
          <w:rFonts w:hint="eastAsia"/>
          <w:sz w:val="24"/>
          <w:szCs w:val="24"/>
        </w:rPr>
      </w:pPr>
      <w:r>
        <w:rPr>
          <w:rFonts w:hint="eastAsia"/>
          <w:sz w:val="24"/>
          <w:szCs w:val="24"/>
        </w:rPr>
        <w:t xml:space="preserve">②投标（响应）报价低于采购项目最高限价45%的，即投标（响应）报价&lt;采购项目最高限价×45%；</w:t>
      </w:r>
      <w:r/>
    </w:p>
    <w:p>
      <w:pPr>
        <w:ind w:firstLine="480"/>
        <w:jc w:val="left"/>
        <w:spacing w:line="500" w:lineRule="exact"/>
        <w:rPr>
          <w:rFonts w:hint="eastAsia"/>
          <w:sz w:val="24"/>
          <w:szCs w:val="24"/>
        </w:rPr>
      </w:pPr>
      <w:r>
        <w:rPr>
          <w:rFonts w:hint="eastAsia"/>
          <w:sz w:val="24"/>
          <w:szCs w:val="24"/>
        </w:rPr>
        <w:t xml:space="preserve">③评审委员会认定的供应商报价过低、有可能影响产品质量或者不能诚信履约的其他情形。</w:t>
      </w:r>
      <w:r/>
    </w:p>
    <w:p>
      <w:pPr>
        <w:ind w:firstLine="480"/>
        <w:jc w:val="left"/>
        <w:spacing w:line="500" w:lineRule="exact"/>
        <w:rPr>
          <w:rFonts w:hint="eastAsia"/>
          <w:sz w:val="24"/>
          <w:szCs w:val="24"/>
        </w:rPr>
      </w:pPr>
      <w:r>
        <w:rPr>
          <w:rFonts w:hint="eastAsia"/>
          <w:sz w:val="24"/>
          <w:szCs w:val="24"/>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rFonts w:hint="eastAsia"/>
          <w:sz w:val="24"/>
          <w:szCs w:val="24"/>
        </w:rPr>
        <w:t xml:space="preserve">26.4如果投标文件实质上没有响应招标文件的要求，评委会将予以拒绝，投标人不得通过修改或撤销不符合要求的偏离而使其投标成为实质性响应的投标。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26.5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26.6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26.7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w:t>
      </w:r>
      <w:r>
        <w:rPr>
          <w:rFonts w:hint="eastAsia"/>
          <w:color w:val="000000"/>
          <w:sz w:val="24"/>
        </w:rPr>
        <w:t xml:space="preserve">投标人被信用中国网站（www.creditchina.gov.cn）、重大税收违法案件当事人名单、政府采购严重违法失信行为记录名单及其他不符合《中华人民共和国政府采购法》第二十二条规定情形的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4"/>
        <w:spacing w:before="0" w:after="0" w:line="360" w:lineRule="auto"/>
        <w:rPr>
          <w:rFonts w:ascii="黑体" w:hAnsi="黑体" w:eastAsia="黑体"/>
          <w:b w:val="0"/>
        </w:rPr>
      </w:pPr>
      <w:r>
        <w:rPr>
          <w:rFonts w:hint="eastAsia" w:ascii="黑体" w:hAnsi="黑体" w:eastAsia="黑体"/>
          <w:b w:val="0"/>
        </w:rPr>
        <w:t xml:space="preserve">六、定标</w:t>
      </w:r>
      <w:r/>
    </w:p>
    <w:p>
      <w:pPr>
        <w:pStyle w:val="84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中标人应在中标后七个工作日内，向采购人提供一份与电子投标文件一致的纸质打印胶装投标文件，封面、骑缝需加盖公章。</w:t>
      </w:r>
      <w:r/>
    </w:p>
    <w:p>
      <w:pPr>
        <w:pStyle w:val="844"/>
        <w:spacing w:before="0" w:after="0" w:line="360" w:lineRule="auto"/>
        <w:rPr>
          <w:rFonts w:ascii="黑体" w:hAnsi="黑体" w:eastAsia="黑体"/>
          <w:b w:val="0"/>
        </w:rPr>
      </w:pPr>
      <w:r>
        <w:rPr>
          <w:rFonts w:hint="eastAsia" w:ascii="黑体" w:hAnsi="黑体" w:eastAsia="黑体"/>
          <w:b w:val="0"/>
        </w:rPr>
        <w:t xml:space="preserve">七、授予合同</w:t>
      </w:r>
      <w:r/>
    </w:p>
    <w:p>
      <w:pPr>
        <w:pStyle w:val="845"/>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本项目履约保证金要求详见招标文件第四章 采购需求。</w:t>
      </w:r>
      <w:r/>
    </w:p>
    <w:p>
      <w:pPr>
        <w:pStyle w:val="845"/>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5"/>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5"/>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4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5"/>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45"/>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5"/>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highlight w:val="none"/>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p>
    <w:p>
      <w:pPr>
        <w:ind w:firstLine="480"/>
        <w:jc w:val="left"/>
        <w:spacing w:line="500" w:lineRule="exact"/>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rFonts w:hint="eastAsia"/>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4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5"/>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37.3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845"/>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45"/>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before="156" w:after="156" w:line="360" w:lineRule="auto"/>
        <w:rPr>
          <w:rFonts w:ascii="黑体" w:hAnsi="黑体" w:eastAsia="黑体"/>
          <w:b w:val="0"/>
        </w:rPr>
      </w:pPr>
      <w:r/>
      <w:bookmarkStart w:id="4" w:name="_Toc165205796"/>
      <w:r>
        <w:rPr>
          <w:rFonts w:hint="eastAsia" w:ascii="黑体" w:hAnsi="黑体" w:eastAsia="黑体"/>
          <w:b w:val="0"/>
        </w:rPr>
        <w:t xml:space="preserve">第三章  合同文本</w:t>
      </w:r>
      <w:bookmarkEnd w:id="4"/>
      <w:r/>
      <w:r/>
    </w:p>
    <w:p>
      <w:pPr>
        <w:pStyle w:val="859"/>
        <w:jc w:val="center"/>
        <w:spacing w:after="0"/>
        <w:rPr>
          <w:rFonts w:ascii="宋体" w:hAnsi="宋体" w:cs="宋体"/>
          <w:b/>
          <w:bCs/>
          <w:spacing w:val="-20"/>
          <w:sz w:val="48"/>
          <w:szCs w:val="48"/>
        </w:rPr>
      </w:pPr>
      <w:r/>
      <w:bookmarkStart w:id="5" w:name="_Toc3995"/>
      <w:r/>
      <w:r/>
    </w:p>
    <w:p>
      <w:pPr>
        <w:pStyle w:val="859"/>
        <w:jc w:val="center"/>
        <w:spacing w:after="0"/>
        <w:rPr>
          <w:rFonts w:ascii="宋体" w:hAnsi="宋体" w:cs="宋体"/>
          <w:b/>
          <w:bCs/>
          <w:spacing w:val="-20"/>
          <w:sz w:val="48"/>
          <w:szCs w:val="48"/>
        </w:rPr>
      </w:pPr>
      <w:r>
        <w:rPr>
          <w:rFonts w:ascii="宋体" w:hAnsi="宋体" w:cs="宋体"/>
          <w:b/>
          <w:bCs/>
          <w:spacing w:val="-20"/>
          <w:sz w:val="48"/>
          <w:szCs w:val="48"/>
        </w:rPr>
      </w:r>
      <w:r/>
    </w:p>
    <w:p>
      <w:pPr>
        <w:pStyle w:val="859"/>
        <w:jc w:val="center"/>
        <w:spacing w:after="0"/>
        <w:rPr>
          <w:rFonts w:ascii="宋体" w:hAnsi="宋体" w:cs="宋体"/>
          <w:b/>
          <w:bCs/>
          <w:spacing w:val="-20"/>
          <w:sz w:val="48"/>
          <w:szCs w:val="48"/>
        </w:rPr>
      </w:pPr>
      <w:r>
        <w:rPr>
          <w:rFonts w:ascii="宋体" w:hAnsi="宋体" w:cs="宋体"/>
          <w:b/>
          <w:bCs/>
          <w:spacing w:val="-20"/>
          <w:sz w:val="48"/>
          <w:szCs w:val="48"/>
        </w:rPr>
      </w:r>
      <w:r/>
    </w:p>
    <w:p>
      <w:pPr>
        <w:pStyle w:val="859"/>
        <w:jc w:val="center"/>
        <w:spacing w:after="0"/>
        <w:rPr>
          <w:rFonts w:ascii="宋体" w:hAnsi="宋体" w:cs="宋体"/>
          <w:b/>
          <w:bCs/>
          <w:spacing w:val="-20"/>
          <w:sz w:val="48"/>
          <w:szCs w:val="48"/>
        </w:rPr>
      </w:pPr>
      <w:r>
        <w:rPr>
          <w:rFonts w:ascii="宋体" w:hAnsi="宋体" w:cs="宋体"/>
          <w:b/>
          <w:bCs/>
          <w:spacing w:val="-20"/>
          <w:sz w:val="48"/>
          <w:szCs w:val="48"/>
        </w:rPr>
      </w:r>
      <w:r/>
    </w:p>
    <w:p>
      <w:pPr>
        <w:pStyle w:val="859"/>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5"/>
      <w:r/>
    </w:p>
    <w:p>
      <w:pPr>
        <w:jc w:val="left"/>
        <w:widowControl/>
        <w:rPr>
          <w:rFonts w:ascii="黑体" w:hAnsi="黑体" w:eastAsia="黑体"/>
          <w:sz w:val="28"/>
          <w:szCs w:val="28"/>
        </w:rPr>
      </w:pPr>
      <w:r/>
      <w:bookmarkStart w:id="6" w:name="_Toc22209"/>
      <w:r>
        <w:rPr>
          <w:rFonts w:ascii="黑体" w:hAnsi="黑体" w:eastAsia="黑体"/>
          <w:b/>
          <w:bCs/>
          <w:sz w:val="28"/>
          <w:szCs w:val="28"/>
        </w:rPr>
        <w:br w:type="page" w:clear="all"/>
      </w:r>
      <w:r/>
    </w:p>
    <w:p>
      <w:pPr>
        <w:pStyle w:val="84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6"/>
      <w:r/>
      <w:r/>
    </w:p>
    <w:p>
      <w:pPr>
        <w:spacing w:line="400" w:lineRule="exact"/>
        <w:rPr>
          <w:rFonts w:hint="eastAsia" w:ascii="宋体" w:hAnsi="宋体"/>
          <w:szCs w:val="21"/>
        </w:rPr>
      </w:pPr>
      <w:r>
        <w:rPr>
          <w:rFonts w:hint="eastAsia" w:ascii="宋体" w:hAnsi="宋体"/>
          <w:szCs w:val="21"/>
        </w:rPr>
        <w:t xml:space="preserve">甲方（全称）：连云港开放大学</w:t>
      </w:r>
      <w:r/>
    </w:p>
    <w:p>
      <w:pPr>
        <w:spacing w:line="400" w:lineRule="exact"/>
        <w:rPr>
          <w:rFonts w:ascii="宋体" w:hAnsi="宋体"/>
          <w:szCs w:val="21"/>
        </w:rPr>
      </w:pPr>
      <w:r>
        <w:rPr>
          <w:rFonts w:hint="eastAsia" w:ascii="宋体" w:hAnsi="宋体"/>
          <w:szCs w:val="21"/>
        </w:rPr>
        <w:t xml:space="preserve">乙方（全称）：（供应商）</w:t>
      </w:r>
      <w:r/>
    </w:p>
    <w:p>
      <w:pPr>
        <w:spacing w:line="400" w:lineRule="exact"/>
        <w:rPr>
          <w:rFonts w:ascii="宋体" w:hAnsi="宋体"/>
        </w:rPr>
      </w:pPr>
      <w:r>
        <w:rPr>
          <w:rFonts w:ascii="宋体" w:hAnsi="宋体"/>
        </w:rPr>
      </w:r>
      <w:r/>
    </w:p>
    <w:p>
      <w:pPr>
        <w:pStyle w:val="861"/>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5"/>
        </w:numPr>
        <w:ind w:firstLine="422"/>
        <w:jc w:val="left"/>
        <w:spacing w:line="400" w:lineRule="exact"/>
        <w:rPr>
          <w:rFonts w:ascii="宋体" w:hAnsi="宋体"/>
          <w:b/>
          <w:szCs w:val="21"/>
        </w:rPr>
      </w:pPr>
      <w:r>
        <w:rPr>
          <w:rFonts w:hint="eastAsia" w:ascii="宋体" w:hAnsi="宋体"/>
          <w:b/>
          <w:szCs w:val="21"/>
        </w:rPr>
        <w:t xml:space="preserve">项目信息</w:t>
      </w:r>
      <w:r/>
    </w:p>
    <w:p>
      <w:pPr>
        <w:pStyle w:val="861"/>
        <w:jc w:val="left"/>
        <w:spacing w:after="0" w:line="400" w:lineRule="exact"/>
        <w:rPr>
          <w:rFonts w:ascii="宋体" w:hAnsi="宋体"/>
          <w:szCs w:val="21"/>
          <w:u w:val="single"/>
        </w:rPr>
      </w:pPr>
      <w:r>
        <w:rPr>
          <w:rFonts w:hint="eastAsia" w:ascii="宋体" w:hAnsi="宋体"/>
          <w:szCs w:val="21"/>
        </w:rPr>
        <w:t xml:space="preserve">（1）采购项目名称：</w:t>
      </w:r>
      <w:r/>
    </w:p>
    <w:p>
      <w:pPr>
        <w:pStyle w:val="861"/>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861"/>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879"/>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87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879"/>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87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87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879"/>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879"/>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879"/>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79"/>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880"/>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79"/>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879"/>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5"/>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87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5"/>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87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5"/>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880"/>
      </w:pPr>
      <w:r/>
      <w:r/>
    </w:p>
    <w:tbl>
      <w:tblPr>
        <w:tblStyle w:val="67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86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4"/>
        <w:jc w:val="center"/>
        <w:spacing w:line="400" w:lineRule="exact"/>
        <w:rPr>
          <w:rFonts w:ascii="黑体" w:hAnsi="黑体" w:eastAsia="黑体"/>
          <w:sz w:val="28"/>
          <w:szCs w:val="28"/>
        </w:rPr>
      </w:pPr>
      <w:r>
        <w:rPr>
          <w:rFonts w:ascii="宋体" w:hAnsi="宋体"/>
          <w:sz w:val="21"/>
          <w:szCs w:val="21"/>
          <w:u w:val="single"/>
        </w:rPr>
        <w:br w:type="page" w:clear="all"/>
      </w:r>
      <w:bookmarkStart w:id="7" w:name="_Toc27624"/>
      <w:r>
        <w:rPr>
          <w:rFonts w:hint="eastAsia" w:ascii="黑体" w:hAnsi="黑体" w:eastAsia="黑体"/>
          <w:b w:val="0"/>
          <w:bCs w:val="0"/>
          <w:sz w:val="28"/>
          <w:szCs w:val="28"/>
        </w:rPr>
        <w:t xml:space="preserve">第二节 政府采购合同通用条款</w:t>
      </w:r>
      <w:bookmarkEnd w:id="7"/>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59"/>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859"/>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7"/>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7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63"/>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3"/>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9"/>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7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7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87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59"/>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87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7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9"/>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9"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4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9"/>
      <w:r/>
      <w:r/>
    </w:p>
    <w:tbl>
      <w:tblPr>
        <w:tblStyle w:val="673"/>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879"/>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843"/>
        <w:jc w:val="center"/>
        <w:spacing w:before="156" w:after="156" w:line="360" w:lineRule="auto"/>
        <w:rPr>
          <w:rFonts w:ascii="黑体" w:hAnsi="黑体" w:eastAsia="黑体"/>
          <w:b w:val="0"/>
        </w:rPr>
      </w:pPr>
      <w:r/>
      <w:bookmarkStart w:id="10" w:name="_Toc165205797"/>
      <w:r>
        <w:rPr>
          <w:rFonts w:hint="eastAsia" w:ascii="黑体" w:hAnsi="黑体" w:eastAsia="黑体"/>
          <w:b w:val="0"/>
        </w:rPr>
        <w:t xml:space="preserve">第四章  采购需求</w:t>
      </w:r>
      <w:bookmarkEnd w:id="10"/>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500" w:lineRule="exact"/>
        <w:rPr>
          <w:rFonts w:hint="eastAsia"/>
          <w:sz w:val="24"/>
          <w:szCs w:val="24"/>
        </w:rPr>
      </w:pPr>
      <w:r>
        <w:rPr>
          <w:rFonts w:hint="eastAsia" w:cs="宋体"/>
          <w:b w:val="0"/>
          <w:bCs/>
          <w:color w:val="000000"/>
          <w:sz w:val="24"/>
          <w:szCs w:val="24"/>
          <w:highlight w:val="none"/>
          <w:u w:val="none"/>
          <w:shd w:val="clear" w:color="auto" w:fill="ffffff"/>
        </w:rPr>
        <w:t xml:space="preserve">根据《关于印发中小企业划型标准规定的通知》（工信部联企业〔</w:t>
      </w:r>
      <w:r>
        <w:rPr>
          <w:b w:val="0"/>
          <w:bCs/>
          <w:color w:val="000000"/>
          <w:sz w:val="24"/>
          <w:szCs w:val="24"/>
          <w:highlight w:val="none"/>
          <w:u w:val="none"/>
          <w:shd w:val="clear" w:color="auto" w:fill="ffffff"/>
        </w:rPr>
        <w:t xml:space="preserve">2011</w:t>
      </w:r>
      <w:r>
        <w:rPr>
          <w:rFonts w:hint="eastAsia" w:cs="宋体"/>
          <w:b w:val="0"/>
          <w:bCs/>
          <w:color w:val="000000"/>
          <w:sz w:val="24"/>
          <w:szCs w:val="24"/>
          <w:highlight w:val="none"/>
          <w:u w:val="none"/>
          <w:shd w:val="clear" w:color="auto" w:fill="ffffff"/>
        </w:rPr>
        <w:t xml:space="preserve">〕</w:t>
      </w:r>
      <w:r>
        <w:rPr>
          <w:b w:val="0"/>
          <w:bCs/>
          <w:color w:val="000000"/>
          <w:sz w:val="24"/>
          <w:szCs w:val="24"/>
          <w:highlight w:val="none"/>
          <w:u w:val="none"/>
          <w:shd w:val="clear" w:color="auto" w:fill="ffffff"/>
        </w:rPr>
        <w:t xml:space="preserve">300</w:t>
      </w:r>
      <w:r>
        <w:rPr>
          <w:rFonts w:hint="eastAsia" w:cs="宋体"/>
          <w:b w:val="0"/>
          <w:bCs/>
          <w:color w:val="000000"/>
          <w:sz w:val="24"/>
          <w:szCs w:val="24"/>
          <w:highlight w:val="none"/>
          <w:u w:val="none"/>
          <w:shd w:val="clear" w:color="auto" w:fill="ffffff"/>
        </w:rPr>
        <w:t xml:space="preserve">号）规定：</w:t>
      </w:r>
      <w:r>
        <w:rPr>
          <w:rFonts w:hint="eastAsia" w:ascii="宋体" w:hAnsi="宋体"/>
          <w:b w:val="0"/>
          <w:bCs/>
          <w:color w:val="000000"/>
          <w:sz w:val="24"/>
          <w:szCs w:val="24"/>
          <w:highlight w:val="none"/>
          <w:u w:val="none"/>
        </w:rPr>
        <w:t xml:space="preserve">工业行业</w:t>
      </w:r>
      <w:r>
        <w:rPr>
          <w:rFonts w:hint="eastAsia"/>
          <w:sz w:val="24"/>
          <w:szCs w:val="24"/>
          <w:highlight w:val="none"/>
        </w:rPr>
        <w:t xml:space="preserve">对应的中小企业</w:t>
      </w:r>
      <w:r>
        <w:rPr>
          <w:rFonts w:hint="eastAsia" w:ascii="宋体" w:hAnsi="宋体"/>
          <w:b w:val="0"/>
          <w:bCs/>
          <w:color w:val="000000"/>
          <w:sz w:val="24"/>
          <w:szCs w:val="24"/>
          <w:highlight w:val="none"/>
          <w:u w:val="none"/>
        </w:rPr>
        <w:t xml:space="preserve">划型标准：</w:t>
      </w:r>
      <w:r>
        <w:rPr>
          <w:rFonts w:hint="eastAsia"/>
          <w:sz w:val="24"/>
          <w:szCs w:val="24"/>
          <w:highlight w:val="none"/>
        </w:rPr>
        <w:t xml:space="preserve">从业人员1000人以下或营业收</w:t>
      </w:r>
      <w:r>
        <w:rPr>
          <w:rFonts w:hint="eastAsia"/>
          <w:sz w:val="24"/>
          <w:szCs w:val="24"/>
        </w:rPr>
        <w:t xml:space="preserve">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sz w:val="24"/>
          <w:szCs w:val="24"/>
        </w:rPr>
      </w:pPr>
      <w:r>
        <w:rPr>
          <w:rFonts w:hint="eastAsia"/>
          <w:sz w:val="24"/>
          <w:szCs w:val="24"/>
        </w:rPr>
        <w:t xml:space="preserve">软件和信息技术服务业对应的中小企业</w:t>
      </w:r>
      <w:r>
        <w:rPr>
          <w:rFonts w:hint="eastAsia" w:ascii="宋体" w:hAnsi="宋体"/>
          <w:b w:val="0"/>
          <w:bCs/>
          <w:color w:val="000000"/>
          <w:sz w:val="24"/>
          <w:szCs w:val="24"/>
          <w:u w:val="none"/>
        </w:rPr>
        <w:t xml:space="preserve">划型标准</w:t>
      </w:r>
      <w:r>
        <w:rPr>
          <w:rFonts w:hint="eastAsia"/>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w:t>
      </w:r>
      <w:r>
        <w:rPr>
          <w:rFonts w:hint="eastAsia"/>
          <w:b/>
          <w:color w:val="000000" w:themeColor="text1"/>
          <w:sz w:val="24"/>
          <w:szCs w:val="24"/>
        </w:rPr>
        <w:t xml:space="preserve">中</w:t>
      </w:r>
      <w:r>
        <w:rPr>
          <w:rFonts w:hint="eastAsia"/>
          <w:b/>
          <w:i/>
          <w:color w:val="000000" w:themeColor="text1"/>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rPr>
                <w:rFonts w:ascii="宋体" w:hAnsi="宋体"/>
                <w:i/>
                <w:iCs/>
                <w:szCs w:val="21"/>
                <w:u w:val="single"/>
              </w:rPr>
            </w:pPr>
            <w:r>
              <w:rPr>
                <w:rFonts w:hint="eastAsia" w:ascii="宋体" w:hAnsi="宋体"/>
                <w:i w:val="0"/>
                <w:iCs w:val="0"/>
                <w:szCs w:val="21"/>
                <w:u w:val="none"/>
              </w:rPr>
              <w:t xml:space="preserve">1</w:t>
            </w:r>
            <w:r/>
          </w:p>
        </w:tc>
        <w:tc>
          <w:tcPr>
            <w:tcW w:w="7689" w:type="dxa"/>
            <w:vAlign w:val="center"/>
            <w:textDirection w:val="lrTb"/>
            <w:noWrap w:val="false"/>
          </w:tcPr>
          <w:p>
            <w:pPr>
              <w:numPr>
                <w:ilvl w:val="0"/>
                <w:numId w:val="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sz w:val="22"/>
                <w:highlight w:val="none"/>
              </w:rPr>
              <w:t xml:space="preserve">会计模拟专业机房电脑</w:t>
            </w:r>
            <w:r/>
          </w:p>
          <w:p>
            <w:pPr>
              <w:numPr>
                <w:ilvl w:val="0"/>
                <w:numId w:val="10"/>
              </w:numPr>
              <w:tabs>
                <w:tab w:val="left" w:pos="312" w:leader="none"/>
              </w:tabs>
              <w:rPr>
                <w:rFonts w:hint="eastAsia" w:ascii="宋体" w:hAnsi="宋体" w:cs="宋体"/>
                <w:i/>
                <w:iCs/>
                <w:color w:val="000000"/>
                <w:szCs w:val="21"/>
                <w:highlight w:val="none"/>
                <w:u w:val="single"/>
                <w:lang w:bidi="ar"/>
              </w:rPr>
            </w:pPr>
            <w:r>
              <w:rPr>
                <w:rStyle w:val="892"/>
                <w:i/>
                <w:iCs/>
                <w:color w:val="000000"/>
                <w:highlight w:val="none"/>
                <w:u w:val="single"/>
              </w:rPr>
              <w:t xml:space="preserve">CPU应具备至少14核20线程，基础主频≥2.5GHz，最大加速频率≥4.8GHz</w:t>
            </w:r>
            <w:r>
              <w:rPr>
                <w:rStyle w:val="892"/>
                <w:rFonts w:hint="eastAsia"/>
                <w:i/>
                <w:iCs/>
                <w:color w:val="000000"/>
                <w:highlight w:val="none"/>
                <w:u w:val="single"/>
                <w:lang w:eastAsia="zh-CN"/>
              </w:rPr>
              <w:t xml:space="preserve">；</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内存配置容量:≥16G</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内存类型:支持DDR5及以上；</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内存条配置数量（板载内存不涉及）:≥2；</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主板集成模块:集成资源扩展模块、计算处理模块、音频扩展模块等，主板的互联拓扑可通过处理器或交换电路实现</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主板支持的CPU和内存情况:</w:t>
            </w:r>
            <w:r>
              <w:rPr>
                <w:rStyle w:val="892"/>
                <w:i/>
                <w:iCs/>
                <w:color w:val="000000"/>
                <w:highlight w:val="none"/>
                <w:u w:val="single"/>
              </w:rPr>
              <w:t xml:space="preserve">支持主流平台的PCI Express通道数不低于14</w:t>
            </w:r>
            <w:r>
              <w:rPr>
                <w:rStyle w:val="892"/>
                <w:rFonts w:hint="eastAsia"/>
                <w:i/>
                <w:iCs/>
                <w:color w:val="000000"/>
                <w:highlight w:val="none"/>
                <w:u w:val="single"/>
                <w:lang w:eastAsia="zh-CN"/>
              </w:rPr>
              <w:t xml:space="preserve">；</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主板内置PCIe 插槽数量：≥1个PCIex16、≥1个PCIe x4、≥1个PCIe x1、≥1个PCI</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主板其他内置接口:≥4个SATA3.0接口用于机械硬盘和DVD光驱、≥3个M.2用于固态硬盘和无线网卡</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单内存插槽最大可支持容量（板载内存不涉及）:≥32GB；</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内存插槽满配时提供的最高内存总容量:≥64GB；</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固态盘数量:≥1个；</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固态存储容量:≥1TB；</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固态存储接口协议:UFS/SATA/PCIe/NVMe 等类型接口协议；</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固态存储形态:采用插卡或板载等形态，选用符合M.2 标准的插卡形态；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存储设备其他参数要求:a)固态盘应符合 SJ/T 11654 相关规定；b)机械硬盘准备时间应不大于 30s；侧面固定螺丝孔数量可为 4 孔或 6 孔；工作状态环境温度应满足 5℃~55℃ ；其它参数应符合 GB/T 12628 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显卡类型:集成显卡；</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显示屏屏占比:≥80%；</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显示屏分辨率:≥1920x1080；</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显示屏像素密度:≥85 像素/英寸；</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显示屏可视角度:水平≥170°；</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显示屏尺寸:≥23 英寸；</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显示屏屏幕比例:16:9；</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显示器外观颜色:黑色；</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显示屏防蓝光:支持防蓝光模式，蓝光加权辐射亮度比应≤0.0012W/(·cd·sr)（瓦每坎特拉每球面度）；</w:t>
            </w:r>
            <w:r/>
          </w:p>
          <w:p>
            <w:pPr>
              <w:numPr>
                <w:ilvl w:val="0"/>
                <w:numId w:val="10"/>
              </w:numPr>
              <w:tabs>
                <w:tab w:val="left" w:pos="312" w:leader="none"/>
              </w:tabs>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显示屏低频闪:显示屏应支持低频闪≤-35dB；</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显示屏防炫目：显示屏镜面反射率≤</w:t>
            </w:r>
            <w:r>
              <w:rPr>
                <w:rFonts w:ascii="宋体" w:hAnsi="宋体" w:cs="宋体"/>
                <w:i/>
                <w:iCs/>
                <w:color w:val="000000"/>
                <w:szCs w:val="21"/>
                <w:highlight w:val="none"/>
                <w:u w:val="single"/>
                <w:lang w:bidi="ar"/>
              </w:rPr>
              <w:t xml:space="preserve">10%</w:t>
            </w:r>
            <w:r>
              <w:rPr>
                <w:rFonts w:hint="eastAsia" w:ascii="宋体" w:hAnsi="宋体" w:cs="宋体"/>
                <w:i/>
                <w:iCs/>
                <w:color w:val="000000"/>
                <w:szCs w:val="21"/>
                <w:highlight w:val="none"/>
                <w:u w:val="single"/>
                <w:lang w:bidi="ar"/>
              </w:rPr>
              <w:t xml:space="preserve">；</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鼠标数量:≥1个；</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键盘数量:≥1个；</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键盘按键数目:≥104键；</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键盘连接方式:有线；</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键盘键程:2.3mm~4.0mm；</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键盘按键压力:按键压力应在 0.54 N±0.14N；</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有线键盘连接线:≥1.5米；</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键盘颜色:黑色；</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键盘其他要求:键盘外观结构、连接方式、主要功能、安全、电磁兼容性、可靠性应符合 GB/T 14081 的相关规定；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鼠标连接方式:有线；</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有线鼠标连接线:≥1.5米；</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鼠标 DPI分辨率:800~1600；</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鼠标颜色:黑色；</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鼠标其他要求:其它参数应符合 GB/T 26245 的相关规定；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有线网卡数量:≥1个；</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USB 接口数量: 机箱前面板应提供不少于</w:t>
            </w:r>
            <w:r>
              <w:rPr>
                <w:rFonts w:ascii="宋体" w:hAnsi="宋体" w:cs="宋体"/>
                <w:i/>
                <w:iCs/>
                <w:color w:val="000000"/>
                <w:szCs w:val="21"/>
                <w:highlight w:val="none"/>
                <w:u w:val="single"/>
                <w:lang w:bidi="ar"/>
              </w:rPr>
              <w:t xml:space="preserve">3 </w:t>
            </w:r>
            <w:r>
              <w:rPr>
                <w:rFonts w:hint="eastAsia" w:ascii="宋体" w:hAnsi="宋体" w:cs="宋体"/>
                <w:i/>
                <w:iCs/>
                <w:color w:val="000000"/>
                <w:szCs w:val="21"/>
                <w:highlight w:val="none"/>
                <w:u w:val="single"/>
                <w:lang w:bidi="ar"/>
              </w:rPr>
              <w:t xml:space="preserve">个</w:t>
            </w:r>
            <w:r>
              <w:rPr>
                <w:rFonts w:ascii="宋体" w:hAnsi="宋体" w:cs="宋体"/>
                <w:i/>
                <w:iCs/>
                <w:color w:val="000000"/>
                <w:szCs w:val="21"/>
                <w:highlight w:val="none"/>
                <w:u w:val="single"/>
                <w:lang w:bidi="ar"/>
              </w:rPr>
              <w:t xml:space="preserve">USB </w:t>
            </w:r>
            <w:r>
              <w:rPr>
                <w:rFonts w:hint="eastAsia" w:ascii="宋体" w:hAnsi="宋体" w:cs="宋体"/>
                <w:i/>
                <w:iCs/>
                <w:color w:val="000000"/>
                <w:szCs w:val="21"/>
                <w:highlight w:val="none"/>
                <w:u w:val="single"/>
                <w:lang w:bidi="ar"/>
              </w:rPr>
              <w:t xml:space="preserve">接口（含</w:t>
            </w:r>
            <w:r>
              <w:rPr>
                <w:rFonts w:ascii="宋体" w:hAnsi="宋体" w:cs="宋体"/>
                <w:i/>
                <w:iCs/>
                <w:color w:val="000000"/>
                <w:szCs w:val="21"/>
                <w:highlight w:val="none"/>
                <w:u w:val="single"/>
                <w:lang w:bidi="ar"/>
              </w:rPr>
              <w:t xml:space="preserve">2 </w:t>
            </w:r>
            <w:r>
              <w:rPr>
                <w:rFonts w:hint="eastAsia" w:ascii="宋体" w:hAnsi="宋体" w:cs="宋体"/>
                <w:i/>
                <w:iCs/>
                <w:color w:val="000000"/>
                <w:szCs w:val="21"/>
                <w:highlight w:val="none"/>
                <w:u w:val="single"/>
                <w:lang w:bidi="ar"/>
              </w:rPr>
              <w:t xml:space="preserve">个</w:t>
            </w:r>
            <w:r>
              <w:rPr>
                <w:rFonts w:ascii="宋体" w:hAnsi="宋体" w:cs="宋体"/>
                <w:i/>
                <w:iCs/>
                <w:color w:val="000000"/>
                <w:szCs w:val="21"/>
                <w:highlight w:val="none"/>
                <w:u w:val="single"/>
                <w:lang w:bidi="ar"/>
              </w:rPr>
              <w:t xml:space="preserve">USB3.0 </w:t>
            </w:r>
            <w:r>
              <w:rPr>
                <w:rFonts w:hint="eastAsia" w:ascii="宋体" w:hAnsi="宋体" w:cs="宋体"/>
                <w:i/>
                <w:iCs/>
                <w:color w:val="000000"/>
                <w:szCs w:val="21"/>
                <w:highlight w:val="none"/>
                <w:u w:val="single"/>
                <w:lang w:bidi="ar"/>
              </w:rPr>
              <w:t xml:space="preserve">及以上接口）；</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视频接口数量:≥3个；</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音频接口数量:≥5个；</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整机外观:a) 产品表面不应有凹痕、划伤、裂缝、变形和污染等。表面涂层均匀，不应起泡、龟裂、脱落和磨损，金属零部件无锈蚀及其它机械损伤；b) 产品表面说明功能的文字、符号、标志，应清晰、端正、牢固。</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状态指示灯:在产品显著位置提供状态指示功能，如运行状态；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整机结构:a)机箱应符合 GB/T 4208、GB/T 26246的相关规定；b)产品内部结构应符合通用部件的安装需求；c)所有输入输出接口应符合相关国家或行业标准；d)产品零部件应紧固无松动，可插拔部件应可靠连接，开关、按钮和其它控制部件应灵活可靠，布局应方便使用；e)所有 I/O 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w:t>
            </w:r>
            <w:r>
              <w:rPr>
                <w:rFonts w:hint="eastAsia" w:ascii="宋体" w:hAnsi="宋体" w:cs="宋体"/>
                <w:i/>
                <w:iCs/>
                <w:color w:val="000000"/>
                <w:szCs w:val="21"/>
                <w:highlight w:val="none"/>
                <w:u w:val="single"/>
                <w:lang w:bidi="ar"/>
              </w:rPr>
              <w:t xml:space="preserve">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 GB/T 9813.1 的相关规定；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机箱防护要求:机箱应符合 GB/T 4208 中 IP20 防护要求；</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整机噪音:产品工作在空闲状态下，产品的声功率级应不超过 4.5 Bel；</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整机散热:在环境温度 25℃及处理器满载情况下，产品表面温度应符合如下要求：a)出风口在机箱后面板情况下，出风口温度不高于 55℃；b)可触及面温度不高于45℃；c)显示器表面温度：显示屏不高于38℃,显示屏上下灯带位置温度（如涉及）不高于40℃,出风口温度不高于45℃；</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整机能效限定值:产品能效限定值应达到 GB 28380-2012标准中能效等级 2 级及以上；</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机身材质:金属；</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机身颜色:黑色；</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机箱尺寸容量:≤10L；</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CPU物理核数:≥14；</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ascii="宋体" w:hAnsi="宋体" w:cs="宋体"/>
                <w:i/>
                <w:iCs/>
                <w:color w:val="000000"/>
                <w:szCs w:val="21"/>
                <w:highlight w:val="none"/>
                <w:u w:val="single"/>
                <w:lang w:bidi="ar"/>
              </w:rPr>
              <w:t xml:space="preserve">CPU主频</w:t>
            </w:r>
            <w:r>
              <w:rPr>
                <w:rFonts w:hint="eastAsia" w:ascii="宋体" w:hAnsi="宋体" w:cs="宋体"/>
                <w:i/>
                <w:iCs/>
                <w:color w:val="000000"/>
                <w:szCs w:val="21"/>
                <w:highlight w:val="none"/>
                <w:u w:val="single"/>
                <w:lang w:bidi="ar"/>
              </w:rPr>
              <w:t xml:space="preserve">:性能核主频≥2.5GHz；</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CPU末级缓存容量:≥24MB；</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CPU 支持的内存最高速率:≥4800MT/s；</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内存读写速率:≥4800MT/s；</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显示分辨率:≥1920x1080；</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显卡显示芯片核心频率:≥300MHz；</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显存等效频率:≥1000MT/s；</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显卡可支持多屏同时显示数量:≥3；</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显示屏刷新率:≥75Hz；</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显示屏位深:≥8位；</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显示屏色域:≥99%sRGB；</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显示屏色准:△E≤4；</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显示屏响应时间:≤5ms；</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显示屏亮度:≥250 尼特；</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显示屏亮度一致性:≥70%；</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显示屏对比度:≥500：1；</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显示屏其他参数:其它参数应符合 SJ/T 11292 的相关规定；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有线网卡速率:最高速率≥1000Mbps，应支持10/100/1000Mbps速率自适应；</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内存扩展接口(板载内存不涉及):≥2；</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存储扩展接口(板载存储不涉及):SATA3.0≥4、M.2 2280≥2</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主板 USB瞬间过流保护:支持有瞬间过流保护功能；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主板防静电保护:支持防静电保护功能；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I/O 接口功能：</w:t>
            </w:r>
            <w:r>
              <w:rPr>
                <w:rFonts w:ascii="宋体" w:hAnsi="宋体" w:cs="宋体"/>
                <w:i/>
                <w:iCs/>
                <w:color w:val="000000"/>
                <w:szCs w:val="21"/>
                <w:highlight w:val="none"/>
                <w:u w:val="single"/>
                <w:lang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i/>
                <w:iCs/>
                <w:color w:val="000000"/>
                <w:szCs w:val="21"/>
                <w:highlight w:val="none"/>
                <w:u w:val="single"/>
                <w:lang w:bidi="ar"/>
              </w:rPr>
              <w:t xml:space="preserve">； </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显卡外接显示接口：显卡至少支持</w:t>
            </w:r>
            <w:r>
              <w:rPr>
                <w:rFonts w:ascii="宋体" w:hAnsi="宋体" w:cs="宋体"/>
                <w:i/>
                <w:iCs/>
                <w:color w:val="000000"/>
                <w:szCs w:val="21"/>
                <w:highlight w:val="none"/>
                <w:u w:val="single"/>
                <w:lang w:bidi="ar"/>
              </w:rPr>
              <w:t xml:space="preserve">VGA</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HDMI</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DVI</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DP</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Type-C </w:t>
            </w:r>
            <w:r>
              <w:rPr>
                <w:rFonts w:hint="eastAsia" w:ascii="宋体" w:hAnsi="宋体" w:cs="宋体"/>
                <w:i/>
                <w:iCs/>
                <w:color w:val="000000"/>
                <w:szCs w:val="21"/>
                <w:highlight w:val="none"/>
                <w:u w:val="single"/>
                <w:lang w:bidi="ar"/>
              </w:rPr>
              <w:t xml:space="preserve">中</w:t>
            </w:r>
            <w:r>
              <w:rPr>
                <w:rFonts w:ascii="宋体" w:hAnsi="宋体" w:cs="宋体"/>
                <w:i/>
                <w:iCs/>
                <w:color w:val="000000"/>
                <w:szCs w:val="21"/>
                <w:highlight w:val="none"/>
                <w:u w:val="single"/>
                <w:lang w:bidi="ar"/>
              </w:rPr>
              <w:t xml:space="preserve">1 </w:t>
            </w:r>
            <w:r>
              <w:rPr>
                <w:rFonts w:hint="eastAsia" w:ascii="宋体" w:hAnsi="宋体" w:cs="宋体"/>
                <w:i/>
                <w:iCs/>
                <w:color w:val="000000"/>
                <w:szCs w:val="21"/>
                <w:highlight w:val="none"/>
                <w:u w:val="single"/>
                <w:lang w:bidi="ar"/>
              </w:rPr>
              <w:t xml:space="preserve">种显示接口，并与显示器接口相匹配；</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显示器接口:≥VGA+HDMI+DP；</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显示器支架:显示器提供固定式支架或者旋转/升级支架固定式支架底座；</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显示器参数调节:a)提供OSD选单按钮用于调节色彩、模式等；b)支持色温、亮度、对比度调节；</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存储功能:通过PCIe 固态存储部件提供存储功能；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网络功能:a)支持网络连接、网络开启/关闭功能；b)支持访问网络和数据交换功能；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数据传输:支持数据传输能力，并提供数据流量和异常日志记录功能；</w:t>
            </w:r>
            <w:r/>
          </w:p>
          <w:p>
            <w:pPr>
              <w:numPr>
                <w:ilvl w:val="0"/>
                <w:numId w:val="10"/>
              </w:numPr>
              <w:tabs>
                <w:tab w:val="left" w:pos="312" w:leader="none"/>
              </w:tabs>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有线网卡接口类型:支持 RJ45 接口，</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网络设备拆装：网络设备支持物理拆装，包括无线网卡和蓝牙模块等； </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音频接口类型:支持 3.5mm 孔径 3 段式或 4 段式接口；</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视频接口类型:至少支持 VGA、HDMI、DVI、DP、Type-C中 1 种显示接口；</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HDMI、DP、Type-C 显示接口要求:若提供 HDMI或DP或Type-C作为显示接口，应支持音频和视频同步输出；</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电源线适配能力:支电源适配器电线组件应符合 GB/T15934 的要求，可拆线的插头和连接器可以不做要求；</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电源:≥320W；</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中文信息处理要求:符合 GB 18030 的相关规定；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操作系统备份及还原功能:支持操作系统备份及还原功能；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固件备份还原能力:支持备份及还原固件的功能；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操作系统及驱动升级:支持通过网络、闪存盘等方式对操作系统、驱动进行升级；</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固件升级:支持通过网络、闪存盘等方式对固件进行升级；</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BIOS 支持关闭通讯接口:支持BIOS关闭以太网及USB接口；</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固件查看信息:支持查看固件版本、内存信息、主板信息、处理器信息和系统时间信息等功能；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固件设置启动顺序:支持设置启动顺序功能，并按照设置的启动顺序启动；</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固件设置口令:支持设置口令、修改口令、验证口令功能；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固件设置网络引导:支持网络引导启动和关闭功能；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固态存储寿命:TBW≥80TB（条件：240GB硬盘容量）；</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显示屏屏幕失效点:符合 GB/T 9813.2 的要求；</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键盘按键寿命:≥1000万次；</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鼠标按键寿命:≥500万次；</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键盘鼠标线材寿命:键盘鼠标所用线材经±60°弯折不低于 3000次，功能、外观完好；</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风扇寿命:≥4万小时；</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电磁兼容性要求的抗扰度:符合 GB/T 9254.2 的规定；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环境条件要求的气候环境适应性:符合 GB/T 9813.1 中规定；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环境条件要求的振动适应性:符合 GB/T 9813.1 中规定；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环境条件要求的冲击适应性:符合 GB/T 9813.1 中规定；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环境条件要求的碰撞适应性:符合 GB/T 9813.1 中规定；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环境条件要求的运输包装件跌落适应性:符合 GB/T 9813.1 中规定；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MTBF测试:MTBF(m1)≥110 万小时；</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常用软件兼容:支持流式软件、版式软件、浏览器、邮件采购人端、解压软件、多媒体、图形图像处理等常用软件。</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数据库兼容:兼容 3 个及以上厂商的数据库产品；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中间件兼容:兼容 3 个及以上厂商中间件产品；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平台软件兼容:兼容 3 个及以上厂商云计算及大数据平台；</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标志、包装、运输和贮存:符合 GB/T 9813.1 和商品包装政府采购需求标准的相关规定；</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配置检查工具:供应商提供自检测试工具；</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服务响应:a)供应商提供电话、电子邮件、远程连接等多种形式服务；b)供应商提供同城 4h、异地 12h 技术响应服务，2 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服务周期:a)设备停产后应继续提供质量保障服务（含备品备件），服务终止时间与最后一批设备交付时间间隔不低于6年；b)产品停止服务时间应提前 1 年告知；c)应明确产品发布日期；</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预装操作系统:预装正版操作系统， </w:t>
            </w:r>
            <w:r/>
          </w:p>
          <w:p>
            <w:pPr>
              <w:numPr>
                <w:ilvl w:val="0"/>
                <w:numId w:val="10"/>
              </w:numPr>
              <w:tabs>
                <w:tab w:val="left" w:pos="312" w:leader="none"/>
              </w:tabs>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培训服务：供应商提供培训材料、产品手册、培训视频等培训相关内容；</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典型问题解决手册：供应商提供典型问题解决说明文档或；视频；</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厂家升级软件与扩容服务：供应商提供上门升级部件/软件与扩容的增值服务</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整机质量服务要求：免费服务周期（含换件和维修）应不小于 3 年</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合格证书要求：供应商提供产品合格证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开箱组装/使用指导要求：供应商提供开箱组装/使用指导</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驱动下载服务要求：供应商提供驱动光盘或下载方式；</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兼容适配软件下载服务要求：供应商提供兼容适配软件下载渠道（光盘、网站），供应商提供跨架构平台的应用兼容工具，支持一种或者一种以上不同架构平台的应用；</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产品部件保障:供应商保障产品主要部件，提供 6 年的备件服务能力（自购买之日起），或提供可兼容原设备的升级换代产品；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抗干扰性:当产品部件出现供应风险时，供应商应通知采购人并提供风险应对方案确保产品的服务保障；</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供应能力证明:供应商提供供应链稳定承诺书，确保产品的部件在产品服务周期内稳定供货；</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USB 端口管控:支持 USB 端口管控；</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安全物理锁:支持安全物理锁；</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信息安全基本要求:a)产品应符合 GB/T 39276 的 5.2 的规定；b)生产厂商应建立漏洞跟踪表，保证产品版本涉及到的漏洞(如驱动程序等)可查看；c)产品不得包含已知的恶意代码或漏洞，不存在未声明的指令、功能、接口；</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固件安全启动:支持固件安全启动功能，固件启动过程中只有通过启动校验才能正常启动；</w:t>
            </w:r>
            <w:r/>
          </w:p>
          <w:p>
            <w:pPr>
              <w:numPr>
                <w:ilvl w:val="0"/>
                <w:numId w:val="10"/>
              </w:numPr>
              <w:tabs>
                <w:tab w:val="left" w:pos="312" w:leader="none"/>
              </w:tabs>
              <w:rPr>
                <w:rFonts w:hint="eastAsia"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限用物质的限量要求:符合GB/T 26572 中规定； </w:t>
            </w:r>
            <w:r/>
          </w:p>
          <w:p>
            <w:pPr>
              <w:numPr>
                <w:ilvl w:val="0"/>
                <w:numId w:val="10"/>
              </w:numPr>
              <w:tabs>
                <w:tab w:val="left" w:pos="312" w:leader="none"/>
              </w:tabs>
              <w:rPr>
                <w:rFonts w:ascii="宋体" w:hAnsi="宋体" w:cs="宋体"/>
                <w:i/>
                <w:iCs/>
                <w:color w:val="000000"/>
                <w:szCs w:val="21"/>
                <w:highlight w:val="none"/>
                <w:u w:val="single"/>
                <w:lang w:bidi="ar"/>
              </w:rPr>
            </w:pPr>
            <w:r>
              <w:rPr>
                <w:rFonts w:hint="eastAsia" w:ascii="宋体" w:hAnsi="宋体" w:cs="宋体"/>
                <w:i/>
                <w:iCs/>
                <w:color w:val="000000"/>
                <w:szCs w:val="21"/>
                <w:highlight w:val="none"/>
                <w:u w:val="single"/>
                <w:lang w:bidi="ar"/>
              </w:rPr>
              <w:t xml:space="preserve">台式机功能要求:BIOS集成网络同传系统；</w:t>
            </w:r>
            <w:r/>
          </w:p>
          <w:p>
            <w:pPr>
              <w:numPr>
                <w:ilvl w:val="0"/>
                <w:numId w:val="10"/>
              </w:numPr>
              <w:ind w:left="0" w:firstLine="0"/>
              <w:tabs>
                <w:tab w:val="left" w:pos="312" w:leader="none"/>
              </w:tabs>
              <w:rPr>
                <w:rFonts w:hint="eastAsia" w:ascii="宋体" w:hAnsi="宋体" w:cs="宋体"/>
                <w:i/>
                <w:iCs/>
                <w:color w:val="000000"/>
                <w:sz w:val="21"/>
                <w:szCs w:val="21"/>
                <w:highlight w:val="none"/>
                <w:u w:val="single"/>
                <w:lang w:val="en-US" w:eastAsia="zh-CN" w:bidi="ar"/>
              </w:rPr>
            </w:pPr>
            <w:r>
              <w:rPr>
                <w:rFonts w:ascii="宋体" w:hAnsi="宋体" w:cs="宋体"/>
                <w:i/>
                <w:iCs/>
                <w:color w:val="000000"/>
                <w:szCs w:val="21"/>
                <w:highlight w:val="none"/>
                <w:u w:val="single"/>
                <w:lang w:bidi="ar"/>
              </w:rPr>
              <w:t xml:space="preserve">所投电脑（含显示器）具有节能产品认证证书（投标文件中提供有效证书（如有附录须提供）扫描件并加盖投标人公章，否则投标无效。证明材料中所投型号须与投标分项报价表中填报的一致）。</w:t>
            </w:r>
            <w:r/>
          </w:p>
        </w:tc>
      </w:tr>
      <w:tr>
        <w:trPr>
          <w:jc w:val="center"/>
        </w:trPr>
        <w:tc>
          <w:tcPr>
            <w:tcW w:w="816" w:type="dxa"/>
            <w:vAlign w:val="center"/>
            <w:textDirection w:val="lrTb"/>
            <w:noWrap w:val="false"/>
          </w:tcPr>
          <w:p>
            <w:pPr>
              <w:jc w:val="center"/>
              <w:spacing w:line="360" w:lineRule="auto"/>
              <w:rPr>
                <w:rFonts w:hint="eastAsia" w:ascii="宋体" w:hAnsi="宋体" w:eastAsia="宋体"/>
                <w:i w:val="0"/>
                <w:iCs w:val="0"/>
                <w:szCs w:val="21"/>
                <w:u w:val="none"/>
                <w:lang w:val="en-US" w:eastAsia="zh-CN"/>
              </w:rPr>
            </w:pPr>
            <w:r>
              <w:rPr>
                <w:rFonts w:hint="eastAsia" w:ascii="宋体" w:hAnsi="宋体"/>
                <w:i w:val="0"/>
                <w:iCs w:val="0"/>
                <w:szCs w:val="21"/>
                <w:u w:val="none"/>
                <w:lang w:val="en-US" w:eastAsia="zh-CN"/>
              </w:rPr>
              <w:t xml:space="preserve">2</w:t>
            </w:r>
            <w:r/>
          </w:p>
        </w:tc>
        <w:tc>
          <w:tcPr>
            <w:tcW w:w="7689" w:type="dxa"/>
            <w:vAlign w:val="top"/>
            <w:textDirection w:val="lrTb"/>
            <w:noWrap w:val="false"/>
          </w:tcPr>
          <w:p>
            <w:pPr>
              <w:pStyle w:val="849"/>
              <w:ind w:firstLine="0"/>
              <w:spacing w:line="360" w:lineRule="auto"/>
              <w:rPr>
                <w:rFonts w:hint="eastAsia" w:ascii="宋体" w:hAnsi="宋体" w:eastAsia="宋体" w:cs="宋体"/>
                <w:i/>
                <w:iCs/>
                <w:color w:val="000000"/>
                <w:sz w:val="21"/>
                <w:szCs w:val="21"/>
                <w:highlight w:val="none"/>
                <w:u w:val="single"/>
                <w:lang w:eastAsia="zh-CN" w:bidi="ar"/>
              </w:rPr>
            </w:pPr>
            <w:r>
              <w:rPr>
                <w:rFonts w:hint="eastAsia" w:ascii="宋体" w:hAnsi="宋体" w:eastAsia="宋体" w:cs="宋体"/>
                <w:i/>
                <w:iCs/>
                <w:sz w:val="24"/>
                <w:szCs w:val="24"/>
                <w:highlight w:val="none"/>
                <w:u w:val="single"/>
              </w:rPr>
              <w:t xml:space="preserve">1.交货期：合同签订后25天内完成安装调试，达到预期效果。</w:t>
            </w:r>
            <w:r/>
          </w:p>
        </w:tc>
      </w:tr>
      <w:tr>
        <w:trPr>
          <w:jc w:val="center"/>
        </w:trPr>
        <w:tc>
          <w:tcPr>
            <w:tcW w:w="816" w:type="dxa"/>
            <w:vAlign w:val="center"/>
            <w:textDirection w:val="lrTb"/>
            <w:noWrap w:val="false"/>
          </w:tcPr>
          <w:p>
            <w:pPr>
              <w:jc w:val="center"/>
              <w:spacing w:line="360" w:lineRule="auto"/>
              <w:rPr>
                <w:rFonts w:hint="eastAsia" w:ascii="宋体" w:hAnsi="宋体" w:eastAsia="宋体"/>
                <w:i w:val="0"/>
                <w:iCs w:val="0"/>
                <w:szCs w:val="21"/>
                <w:u w:val="none"/>
                <w:lang w:val="en-US" w:eastAsia="zh-CN"/>
              </w:rPr>
            </w:pPr>
            <w:r>
              <w:rPr>
                <w:rFonts w:hint="eastAsia" w:ascii="宋体" w:hAnsi="宋体"/>
                <w:i w:val="0"/>
                <w:iCs w:val="0"/>
                <w:szCs w:val="21"/>
                <w:u w:val="none"/>
                <w:lang w:val="en-US" w:eastAsia="zh-CN"/>
              </w:rPr>
              <w:t xml:space="preserve">3</w:t>
            </w:r>
            <w:r/>
          </w:p>
        </w:tc>
        <w:tc>
          <w:tcPr>
            <w:tcW w:w="7689" w:type="dxa"/>
            <w:vAlign w:val="top"/>
            <w:textDirection w:val="lrTb"/>
            <w:noWrap w:val="false"/>
          </w:tcPr>
          <w:p>
            <w:pPr>
              <w:pStyle w:val="849"/>
              <w:ind w:firstLine="0"/>
              <w:spacing w:line="360" w:lineRule="auto"/>
              <w:rPr>
                <w:rFonts w:hint="eastAsia" w:ascii="宋体" w:hAnsi="宋体" w:eastAsia="宋体" w:cs="宋体"/>
                <w:i/>
                <w:iCs/>
                <w:color w:val="000000"/>
                <w:sz w:val="21"/>
                <w:szCs w:val="21"/>
                <w:highlight w:val="none"/>
                <w:u w:val="single"/>
                <w:lang w:eastAsia="zh-CN" w:bidi="ar"/>
              </w:rPr>
            </w:pPr>
            <w:r>
              <w:rPr>
                <w:rFonts w:hint="eastAsia" w:ascii="宋体" w:hAnsi="宋体" w:eastAsia="宋体" w:cs="宋体"/>
                <w:i/>
                <w:iCs/>
                <w:sz w:val="24"/>
                <w:szCs w:val="24"/>
                <w:highlight w:val="none"/>
                <w:u w:val="single"/>
              </w:rPr>
              <w:t xml:space="preserve">1、付款方式：供货安装完成并最终验收合格后支付合同总金额的100％。</w:t>
            </w:r>
            <w:r/>
          </w:p>
        </w:tc>
      </w:tr>
    </w:tbl>
    <w:p>
      <w:pPr>
        <w:ind w:firstLine="480"/>
        <w:jc w:val="left"/>
        <w:spacing w:line="500" w:lineRule="exact"/>
        <w:rPr>
          <w:sz w:val="24"/>
          <w:szCs w:val="24"/>
        </w:rPr>
      </w:pPr>
      <w:r>
        <w:rPr>
          <w:rFonts w:hint="eastAsia"/>
          <w:sz w:val="24"/>
          <w:szCs w:val="24"/>
        </w:rPr>
        <w:t xml:space="preserve">3、本项目核心产品为：</w:t>
      </w:r>
      <w:r>
        <w:rPr>
          <w:rFonts w:hint="eastAsia"/>
          <w:sz w:val="24"/>
          <w:szCs w:val="24"/>
          <w:u w:val="single"/>
        </w:rPr>
        <w:t xml:space="preserve">会计模拟专业机房电脑</w:t>
      </w:r>
      <w:r>
        <w:rPr>
          <w:rFonts w:hint="eastAsia"/>
          <w:sz w:val="24"/>
          <w:szCs w:val="24"/>
        </w:rPr>
        <w:t xml:space="preserve">。</w:t>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sz w:val="24"/>
          <w:szCs w:val="24"/>
        </w:rPr>
      </w:pPr>
      <w:r/>
      <w:bookmarkStart w:id="11" w:name="_Hlk211452619"/>
      <w:r>
        <w:rPr>
          <w:rFonts w:hint="eastAsia"/>
          <w:sz w:val="24"/>
          <w:szCs w:val="24"/>
        </w:rPr>
        <w:t xml:space="preserve">为建设健全连云港开放大学会计模拟实验室，本项目计划采购S+Cloud数智企业经营管理沙盘1套及会计模拟专业机房电脑220台。</w:t>
      </w:r>
      <w:bookmarkEnd w:id="11"/>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349"/>
        <w:gridCol w:w="1275"/>
        <w:gridCol w:w="2168"/>
      </w:tblGrid>
      <w:tr>
        <w:trPr>
          <w:jc w:val="center"/>
        </w:trPr>
        <w:tc>
          <w:tcPr>
            <w:tcW w:w="896" w:type="dxa"/>
            <w:vAlign w:val="center"/>
            <w:textDirection w:val="lrTb"/>
            <w:noWrap w:val="false"/>
          </w:tcPr>
          <w:p>
            <w:pPr>
              <w:jc w:val="center"/>
              <w:spacing w:line="360" w:lineRule="auto"/>
              <w:widowControl/>
              <w:rPr>
                <w:rFonts w:ascii="宋体" w:hAnsi="宋体" w:cs="Helvetica"/>
                <w:sz w:val="24"/>
                <w:szCs w:val="24"/>
              </w:rPr>
            </w:pPr>
            <w:r>
              <w:rPr>
                <w:rFonts w:hint="eastAsia" w:ascii="宋体" w:hAnsi="宋体" w:cs="Helvetica"/>
                <w:sz w:val="24"/>
                <w:szCs w:val="24"/>
              </w:rPr>
              <w:t xml:space="preserve">序号</w:t>
            </w:r>
            <w:r/>
          </w:p>
        </w:tc>
        <w:tc>
          <w:tcPr>
            <w:tcW w:w="2817" w:type="dxa"/>
            <w:vAlign w:val="center"/>
            <w:textDirection w:val="lrTb"/>
            <w:noWrap w:val="false"/>
          </w:tcPr>
          <w:p>
            <w:pPr>
              <w:jc w:val="center"/>
              <w:spacing w:line="360" w:lineRule="auto"/>
              <w:widowControl/>
              <w:rPr>
                <w:rFonts w:hint="eastAsia" w:ascii="宋体" w:hAnsi="宋体" w:cs="Helvetica"/>
                <w:sz w:val="24"/>
                <w:szCs w:val="24"/>
              </w:rPr>
            </w:pPr>
            <w:r>
              <w:rPr>
                <w:rFonts w:hint="eastAsia" w:ascii="宋体" w:hAnsi="宋体" w:cs="Helvetica"/>
                <w:sz w:val="24"/>
                <w:szCs w:val="24"/>
              </w:rPr>
              <w:t xml:space="preserve">货物（标的）名称</w:t>
            </w:r>
            <w:r/>
          </w:p>
        </w:tc>
        <w:tc>
          <w:tcPr>
            <w:tcW w:w="1349"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sz w:val="24"/>
                <w:szCs w:val="24"/>
              </w:rPr>
              <w:t xml:space="preserve">数量</w:t>
            </w:r>
            <w:r/>
          </w:p>
        </w:tc>
        <w:tc>
          <w:tcPr>
            <w:tcW w:w="1275"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sz w:val="24"/>
                <w:szCs w:val="24"/>
              </w:rPr>
              <w:t xml:space="preserve">单位</w:t>
            </w:r>
            <w:r/>
          </w:p>
        </w:tc>
        <w:tc>
          <w:tcPr>
            <w:tcW w:w="2168"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中小企业划分标准所属行业</w:t>
            </w:r>
            <w:r/>
          </w:p>
        </w:tc>
      </w:tr>
      <w:tr>
        <w:trPr>
          <w:jc w:val="center"/>
        </w:trPr>
        <w:tc>
          <w:tcPr>
            <w:tcW w:w="896" w:type="dxa"/>
            <w:vAlign w:val="center"/>
            <w:textDirection w:val="lrTb"/>
            <w:noWrap w:val="false"/>
          </w:tcPr>
          <w:p>
            <w:pPr>
              <w:numPr>
                <w:ilvl w:val="0"/>
                <w:numId w:val="11"/>
              </w:numPr>
              <w:jc w:val="center"/>
              <w:spacing w:line="360" w:lineRule="auto"/>
              <w:widowControl/>
              <w:rPr>
                <w:rFonts w:hint="eastAsia" w:ascii="宋体" w:hAnsi="宋体" w:cs="Helvetica"/>
                <w:sz w:val="24"/>
                <w:szCs w:val="24"/>
              </w:rPr>
            </w:pPr>
            <w:r>
              <w:rPr>
                <w:rFonts w:hint="eastAsia" w:ascii="宋体" w:hAnsi="宋体" w:cs="Helvetica"/>
                <w:sz w:val="24"/>
                <w:szCs w:val="24"/>
              </w:rPr>
            </w:r>
            <w:r/>
          </w:p>
        </w:tc>
        <w:tc>
          <w:tcPr>
            <w:tcW w:w="2817" w:type="dxa"/>
            <w:vAlign w:val="center"/>
            <w:textDirection w:val="lrTb"/>
            <w:noWrap w:val="false"/>
          </w:tcPr>
          <w:p>
            <w:pPr>
              <w:jc w:val="center"/>
              <w:spacing w:line="360" w:lineRule="auto"/>
              <w:widowControl/>
              <w:rPr>
                <w:rFonts w:hint="eastAsia" w:ascii="宋体" w:hAnsi="宋体" w:cs="Helvetica"/>
                <w:sz w:val="24"/>
                <w:szCs w:val="24"/>
              </w:rPr>
            </w:pPr>
            <w:r>
              <w:rPr>
                <w:rFonts w:hint="eastAsia" w:ascii="宋体" w:hAnsi="宋体" w:cs="宋体"/>
                <w:sz w:val="22"/>
              </w:rPr>
              <w:t xml:space="preserve">会计模拟专业机房电脑</w:t>
            </w:r>
            <w:r/>
          </w:p>
        </w:tc>
        <w:tc>
          <w:tcPr>
            <w:tcW w:w="1349"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sz w:val="24"/>
                <w:szCs w:val="24"/>
              </w:rPr>
              <w:t xml:space="preserve">220</w:t>
            </w:r>
            <w:r/>
          </w:p>
        </w:tc>
        <w:tc>
          <w:tcPr>
            <w:tcW w:w="1275"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sz w:val="24"/>
                <w:szCs w:val="24"/>
              </w:rPr>
              <w:t xml:space="preserve">台</w:t>
            </w:r>
            <w:r/>
          </w:p>
        </w:tc>
        <w:tc>
          <w:tcPr>
            <w:tcW w:w="2168"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工业</w:t>
            </w:r>
            <w:r/>
          </w:p>
        </w:tc>
      </w:tr>
      <w:tr>
        <w:trPr>
          <w:jc w:val="center"/>
        </w:trPr>
        <w:tc>
          <w:tcPr>
            <w:tcW w:w="896" w:type="dxa"/>
            <w:vAlign w:val="center"/>
            <w:textDirection w:val="lrTb"/>
            <w:noWrap w:val="false"/>
          </w:tcPr>
          <w:p>
            <w:pPr>
              <w:numPr>
                <w:ilvl w:val="0"/>
                <w:numId w:val="11"/>
              </w:numPr>
              <w:jc w:val="center"/>
              <w:spacing w:line="360" w:lineRule="auto"/>
              <w:widowControl/>
              <w:rPr>
                <w:rFonts w:hint="eastAsia" w:ascii="宋体" w:hAnsi="宋体" w:cs="Helvetica"/>
                <w:sz w:val="24"/>
                <w:szCs w:val="24"/>
              </w:rPr>
            </w:pPr>
            <w:r>
              <w:rPr>
                <w:rFonts w:hint="eastAsia" w:ascii="宋体" w:hAnsi="宋体" w:cs="Helvetica"/>
                <w:sz w:val="24"/>
                <w:szCs w:val="24"/>
              </w:rPr>
            </w:r>
            <w:r/>
          </w:p>
        </w:tc>
        <w:tc>
          <w:tcPr>
            <w:tcW w:w="2817" w:type="dxa"/>
            <w:vAlign w:val="center"/>
            <w:textDirection w:val="lrTb"/>
            <w:noWrap w:val="false"/>
          </w:tcPr>
          <w:p>
            <w:pPr>
              <w:jc w:val="center"/>
              <w:spacing w:line="360" w:lineRule="auto"/>
              <w:widowControl/>
              <w:rPr>
                <w:rFonts w:hint="eastAsia" w:ascii="宋体" w:hAnsi="宋体" w:cs="Helvetica"/>
                <w:sz w:val="24"/>
                <w:szCs w:val="24"/>
              </w:rPr>
            </w:pPr>
            <w:r>
              <w:rPr>
                <w:rFonts w:hint="eastAsia" w:ascii="宋体" w:hAnsi="宋体" w:cs="Helvetica"/>
                <w:sz w:val="24"/>
                <w:szCs w:val="24"/>
              </w:rPr>
              <w:t xml:space="preserve">数智企业经营管理沙盘</w:t>
            </w:r>
            <w:r/>
          </w:p>
        </w:tc>
        <w:tc>
          <w:tcPr>
            <w:tcW w:w="1349"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sz w:val="24"/>
                <w:szCs w:val="24"/>
              </w:rPr>
              <w:t xml:space="preserve">1</w:t>
            </w:r>
            <w:r/>
          </w:p>
        </w:tc>
        <w:tc>
          <w:tcPr>
            <w:tcW w:w="1275" w:type="dxa"/>
            <w:vAlign w:val="center"/>
            <w:textDirection w:val="lrTb"/>
            <w:noWrap w:val="false"/>
          </w:tcPr>
          <w:p>
            <w:pPr>
              <w:jc w:val="center"/>
              <w:spacing w:line="360" w:lineRule="auto"/>
              <w:widowControl/>
              <w:rPr>
                <w:rFonts w:hint="eastAsia" w:ascii="宋体" w:hAnsi="宋体"/>
                <w:sz w:val="24"/>
                <w:szCs w:val="24"/>
              </w:rPr>
            </w:pPr>
            <w:r>
              <w:rPr>
                <w:rFonts w:hint="eastAsia" w:ascii="宋体" w:hAnsi="宋体"/>
                <w:sz w:val="24"/>
                <w:szCs w:val="24"/>
              </w:rPr>
              <w:t xml:space="preserve">套</w:t>
            </w:r>
            <w:r/>
          </w:p>
        </w:tc>
        <w:tc>
          <w:tcPr>
            <w:tcW w:w="2168"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软件和信息技术服务业</w:t>
            </w:r>
            <w:r/>
          </w:p>
        </w:tc>
      </w:tr>
    </w:tbl>
    <w:p>
      <w:pPr>
        <w:ind w:firstLine="562"/>
        <w:jc w:val="left"/>
        <w:spacing w:line="360" w:lineRule="auto"/>
        <w:rPr>
          <w:rFonts w:ascii="Times New Roman" w:hAnsi="Times New Roman"/>
          <w:b/>
          <w:sz w:val="28"/>
          <w:szCs w:val="28"/>
        </w:rPr>
      </w:pPr>
      <w:r/>
      <w:bookmarkStart w:id="12" w:name="_Toc139967216"/>
      <w:r/>
      <w:bookmarkStart w:id="13" w:name="_Toc139966432"/>
      <w:r>
        <w:rPr>
          <w:rFonts w:hint="eastAsia" w:ascii="Times New Roman" w:hAnsi="Times New Roman"/>
          <w:b/>
          <w:sz w:val="28"/>
          <w:szCs w:val="28"/>
        </w:rPr>
        <w:t xml:space="preserve">三、货物（标的）技术参数及功能指标</w:t>
      </w:r>
      <w:r/>
    </w:p>
    <w:tbl>
      <w:tblPr>
        <w:tblStyle w:val="673"/>
        <w:tblW w:w="0" w:type="auto"/>
        <w:tblInd w:w="5" w:type="dxa"/>
        <w:tblLayout w:type="autofit"/>
        <w:tblCellMar>
          <w:left w:w="108" w:type="dxa"/>
          <w:top w:w="0" w:type="dxa"/>
          <w:right w:w="108" w:type="dxa"/>
          <w:bottom w:w="0" w:type="dxa"/>
        </w:tblCellMar>
        <w:tblLook w:val="04A0" w:firstRow="1" w:lastRow="0" w:firstColumn="1" w:lastColumn="0" w:noHBand="0" w:noVBand="1"/>
      </w:tblPr>
      <w:tblGrid>
        <w:gridCol w:w="459"/>
        <w:gridCol w:w="887"/>
        <w:gridCol w:w="7063"/>
      </w:tblGrid>
      <w:tr>
        <w:trPr>
          <w:trHeight w:val="20"/>
        </w:trPr>
        <w:tc>
          <w:tcPr>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88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货物（标的）名称</w:t>
            </w:r>
            <w:r/>
          </w:p>
        </w:tc>
        <w:tc>
          <w:tcPr>
            <w:tcBorders>
              <w:top w:val="single" w:color="000000" w:sz="4" w:space="0"/>
              <w:left w:val="none" w:color="000000" w:sz="4" w:space="0"/>
              <w:bottom w:val="single" w:color="000000" w:sz="4" w:space="0"/>
              <w:right w:val="single" w:color="000000" w:sz="4" w:space="0"/>
            </w:tcBorders>
            <w:tcW w:w="706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技术参数及功能指标</w:t>
            </w:r>
            <w:r/>
          </w:p>
        </w:tc>
      </w:tr>
      <w:tr>
        <w:trPr>
          <w:trHeight w:val="20"/>
        </w:trPr>
        <w:tc>
          <w:tcPr>
            <w:tcBorders>
              <w:top w:val="none" w:color="000000" w:sz="4" w:space="0"/>
              <w:left w:val="single" w:color="000000" w:sz="4" w:space="0"/>
              <w:bottom w:val="single" w:color="000000" w:sz="4" w:space="0"/>
              <w:right w:val="single" w:color="000000" w:sz="4" w:space="0"/>
            </w:tcBorders>
            <w:tcW w:w="459"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887"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sz w:val="20"/>
                <w:szCs w:val="20"/>
              </w:rPr>
              <w:t xml:space="preserve">会计模拟专业机房电脑</w:t>
            </w:r>
            <w:r/>
          </w:p>
        </w:tc>
        <w:tc>
          <w:tcPr>
            <w:tcBorders>
              <w:top w:val="none" w:color="000000" w:sz="4" w:space="0"/>
              <w:left w:val="none" w:color="000000" w:sz="4" w:space="0"/>
              <w:bottom w:val="single" w:color="000000" w:sz="4" w:space="0"/>
              <w:right w:val="single" w:color="000000" w:sz="4" w:space="0"/>
            </w:tcBorders>
            <w:tcW w:w="7063" w:type="dxa"/>
            <w:vAlign w:val="center"/>
            <w:textDirection w:val="lrTb"/>
            <w:noWrap w:val="false"/>
          </w:tcPr>
          <w:p>
            <w:pPr>
              <w:numPr>
                <w:ilvl w:val="0"/>
                <w:numId w:val="12"/>
              </w:numPr>
              <w:tabs>
                <w:tab w:val="left" w:pos="312" w:leader="none"/>
              </w:tabs>
              <w:rPr>
                <w:rFonts w:hint="eastAsia" w:ascii="宋体" w:hAnsi="宋体" w:cs="宋体"/>
                <w:i/>
                <w:iCs/>
                <w:color w:val="000000"/>
                <w:szCs w:val="21"/>
                <w:highlight w:val="none"/>
                <w:u w:val="single"/>
              </w:rPr>
            </w:pPr>
            <w:r>
              <w:rPr>
                <w:rStyle w:val="892"/>
                <w:i/>
                <w:iCs/>
                <w:color w:val="000000"/>
                <w:highlight w:val="none"/>
                <w:u w:val="single"/>
              </w:rPr>
              <w:t xml:space="preserve">CPU应具备至少14核20线程，基础主频≥2.5GHz，最大加速频率≥4.8GHz</w:t>
            </w:r>
            <w:r>
              <w:rPr>
                <w:rStyle w:val="892"/>
                <w:rFonts w:hint="eastAsia"/>
                <w:i/>
                <w:iCs/>
                <w:color w:val="000000"/>
                <w:highlight w:val="none"/>
                <w:u w:val="single"/>
                <w:lang w:eastAsia="zh-CN"/>
              </w:rPr>
              <w:t xml:space="preserve">；</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内存配置容量:≥16G</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内存类型:支持DDR5及以上；</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内存条配置数量（板载内存不涉及）:≥2；</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主板集成模块:集成资源扩展模块、计算处理模块、音频扩展模块等，主板的互联拓扑可通过处理器或交换电路实现</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主板支持的 CPU和内存情况:</w:t>
            </w:r>
            <w:r>
              <w:rPr>
                <w:rStyle w:val="892"/>
                <w:i/>
                <w:iCs/>
                <w:color w:val="000000"/>
                <w:highlight w:val="none"/>
                <w:u w:val="single"/>
              </w:rPr>
              <w:t xml:space="preserve">支持主流平台的PCI Express通道数不低于14</w:t>
            </w:r>
            <w:r>
              <w:rPr>
                <w:rStyle w:val="892"/>
                <w:rFonts w:hint="eastAsia"/>
                <w:i/>
                <w:iCs/>
                <w:color w:val="000000"/>
                <w:highlight w:val="none"/>
                <w:u w:val="single"/>
                <w:lang w:eastAsia="zh-CN"/>
              </w:rPr>
              <w:t xml:space="preserve">；</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主板内置PCIe 插槽数量：≥1个PCIex16、≥1个PCIe x4、≥1个PCIe x1、≥1个PCI</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主板其他内置接口:≥4个SATA3.0接口用于机械硬盘和DVD光驱、≥3个M.2用于固态硬盘和无线网卡</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单内存插槽最大可支持容量（板载内存不涉及）:≥32GB；</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内存插槽满配时提供的最高内存总容量:≥64GB；</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固态盘数量:≥1个；</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固态存储容量:≥1TB；</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固态存储接口协议:UFS/SATA/PCIe/NVMe 等类型接口协议；</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固态存储形态:采用插卡或板载等形态，选用符合M.2 标准的插卡形态；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存储设备其他参数要求:a)固态盘应符合 SJ/T 11654 相关规定；b)机械硬盘准备时间应不大于 30s；侧面固定螺丝孔数量可为 4 孔或 6 孔；工作状态环境温度应满足 5℃~55℃ ；其它参数应符合 GB/T 12628 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显卡类型:集成显卡；</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显示屏屏占比:≥80%；</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显示屏分辨率:≥1920x1080；</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显示屏像素密度:≥85 像素/英寸；</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显示屏可视角度:水平≥170°；</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显示屏尺寸:≥23 英寸；</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显示屏屏幕比例:16:9；</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显示器外观颜色:黑色；</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显示屏防蓝光:支持防蓝光模式，蓝光加权辐射亮度比应≤0.0012W/(·cd·sr)（瓦每坎特拉每球面度）；</w:t>
            </w:r>
            <w:r>
              <w:rPr>
                <w:highlight w:val="none"/>
              </w:rPr>
            </w:r>
          </w:p>
          <w:p>
            <w:pPr>
              <w:numPr>
                <w:ilvl w:val="0"/>
                <w:numId w:val="12"/>
              </w:numPr>
              <w:tabs>
                <w:tab w:val="left" w:pos="312" w:leader="none"/>
              </w:tabs>
              <w:rPr>
                <w:rFonts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显示屏低频闪:显示屏应支持低频闪≤-35dB；</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显示屏防炫目：显示屏镜面反射率≤</w:t>
            </w:r>
            <w:r>
              <w:rPr>
                <w:rFonts w:ascii="宋体" w:hAnsi="宋体" w:cs="宋体"/>
                <w:i/>
                <w:iCs/>
                <w:color w:val="000000"/>
                <w:szCs w:val="21"/>
                <w:highlight w:val="none"/>
                <w:u w:val="single"/>
                <w:lang w:bidi="ar"/>
              </w:rPr>
              <w:t xml:space="preserve">10%</w:t>
            </w:r>
            <w:r>
              <w:rPr>
                <w:rFonts w:hint="eastAsia" w:ascii="宋体" w:hAnsi="宋体" w:cs="宋体"/>
                <w:i/>
                <w:iCs/>
                <w:color w:val="000000"/>
                <w:szCs w:val="21"/>
                <w:highlight w:val="none"/>
                <w:u w:val="single"/>
                <w:lang w:bidi="ar"/>
              </w:rPr>
              <w:t xml:space="preserve">；</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鼠标数量:≥1个；</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键盘数量:≥1个；</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键盘按键数目:≥104键；</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键盘连接方式:有线；</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键盘键程:2.3mm~4.0mm；</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键盘按键压力:按键压力应在 0.54 N±0.14N；</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有线键盘连接线:≥1.5米；</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键盘颜色:黑色；</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键盘其他要求:键盘外观结构、连接方式、主要功能、安全、电磁兼容性、可靠性应符合 GB/T 14081 的相关规定；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鼠标连接方式:有线；</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有线鼠标连接线:≥1.5米；</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鼠标 DPI分辨率:800~1600；</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鼠标颜色:黑色；</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鼠标其他要求:其它参数应符合 GB/T 26245 的相关规定；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有线网卡数量:≥1个；</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USB 接口数量: 机箱前面板应提供不少于</w:t>
            </w:r>
            <w:r>
              <w:rPr>
                <w:rFonts w:ascii="宋体" w:hAnsi="宋体" w:cs="宋体"/>
                <w:i/>
                <w:iCs/>
                <w:color w:val="000000"/>
                <w:szCs w:val="21"/>
                <w:highlight w:val="none"/>
                <w:u w:val="single"/>
                <w:lang w:bidi="ar"/>
              </w:rPr>
              <w:t xml:space="preserve">3 </w:t>
            </w:r>
            <w:r>
              <w:rPr>
                <w:rFonts w:hint="eastAsia" w:ascii="宋体" w:hAnsi="宋体" w:cs="宋体"/>
                <w:i/>
                <w:iCs/>
                <w:color w:val="000000"/>
                <w:szCs w:val="21"/>
                <w:highlight w:val="none"/>
                <w:u w:val="single"/>
                <w:lang w:bidi="ar"/>
              </w:rPr>
              <w:t xml:space="preserve">个</w:t>
            </w:r>
            <w:r>
              <w:rPr>
                <w:rFonts w:ascii="宋体" w:hAnsi="宋体" w:cs="宋体"/>
                <w:i/>
                <w:iCs/>
                <w:color w:val="000000"/>
                <w:szCs w:val="21"/>
                <w:highlight w:val="none"/>
                <w:u w:val="single"/>
                <w:lang w:bidi="ar"/>
              </w:rPr>
              <w:t xml:space="preserve">USB </w:t>
            </w:r>
            <w:r>
              <w:rPr>
                <w:rFonts w:hint="eastAsia" w:ascii="宋体" w:hAnsi="宋体" w:cs="宋体"/>
                <w:i/>
                <w:iCs/>
                <w:color w:val="000000"/>
                <w:szCs w:val="21"/>
                <w:highlight w:val="none"/>
                <w:u w:val="single"/>
                <w:lang w:bidi="ar"/>
              </w:rPr>
              <w:t xml:space="preserve">接口（含</w:t>
            </w:r>
            <w:r>
              <w:rPr>
                <w:rFonts w:ascii="宋体" w:hAnsi="宋体" w:cs="宋体"/>
                <w:i/>
                <w:iCs/>
                <w:color w:val="000000"/>
                <w:szCs w:val="21"/>
                <w:highlight w:val="none"/>
                <w:u w:val="single"/>
                <w:lang w:bidi="ar"/>
              </w:rPr>
              <w:t xml:space="preserve">2 </w:t>
            </w:r>
            <w:r>
              <w:rPr>
                <w:rFonts w:hint="eastAsia" w:ascii="宋体" w:hAnsi="宋体" w:cs="宋体"/>
                <w:i/>
                <w:iCs/>
                <w:color w:val="000000"/>
                <w:szCs w:val="21"/>
                <w:highlight w:val="none"/>
                <w:u w:val="single"/>
                <w:lang w:bidi="ar"/>
              </w:rPr>
              <w:t xml:space="preserve">个</w:t>
            </w:r>
            <w:r>
              <w:rPr>
                <w:rFonts w:ascii="宋体" w:hAnsi="宋体" w:cs="宋体"/>
                <w:i/>
                <w:iCs/>
                <w:color w:val="000000"/>
                <w:szCs w:val="21"/>
                <w:highlight w:val="none"/>
                <w:u w:val="single"/>
                <w:lang w:bidi="ar"/>
              </w:rPr>
              <w:t xml:space="preserve">USB3.0 </w:t>
            </w:r>
            <w:r>
              <w:rPr>
                <w:rFonts w:hint="eastAsia" w:ascii="宋体" w:hAnsi="宋体" w:cs="宋体"/>
                <w:i/>
                <w:iCs/>
                <w:color w:val="000000"/>
                <w:szCs w:val="21"/>
                <w:highlight w:val="none"/>
                <w:u w:val="single"/>
                <w:lang w:bidi="ar"/>
              </w:rPr>
              <w:t xml:space="preserve">及以上接口）；</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视频接口数量:≥3个；</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音频接口数量:≥5个；</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整机外观:a) 产品表面不应有凹痕、划伤、裂缝、变形和污染等。表面涂层均匀，不应起泡、龟裂、脱落和磨损，金属零部件无锈蚀及其它机械损伤；b) 产品表面说明功能的文字、符号、标志，应清晰、端正、牢固。</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状态指示灯:在产品显著位置提供状态指示功能，如运行状态；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整机结构:a)机箱应符合 GB/T 4208、GB/T 26246的相关规定；b)产品内部结构应符合通用部件的安装需求；c)所有输入输出接口应符合相关国家或行业标准；d)产品零部件应紧固无松动，可插拔部件应可靠连接，开关、按钮和其它控制部件应灵活可靠，布局应方便使用；e)所有 I/O 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w:t>
            </w:r>
            <w:r>
              <w:rPr>
                <w:rFonts w:hint="eastAsia" w:ascii="宋体" w:hAnsi="宋体" w:cs="宋体"/>
                <w:i/>
                <w:iCs/>
                <w:color w:val="000000"/>
                <w:szCs w:val="21"/>
                <w:highlight w:val="none"/>
                <w:u w:val="single"/>
                <w:lang w:bidi="ar"/>
              </w:rPr>
              <w:t xml:space="preserve">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 GB/T 9813.1 的相关规定；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机箱防护要求:机箱应符合 GB/T 4208 中 IP20 防护要求；</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整机噪音:产品工作在空闲状态下，产品的声功率级应不超过 4.5 Bel；</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整机散热:在环境温度 25℃及处理器满载情况下，产品表面温度应符合如下要求：a)出风口在机箱后面板情况下，出风口温度不高于 55℃；b)可触及面温度不高于45℃；c)显示器表面温度：显示屏不高于38℃,显示屏上下灯带位置温度（如涉及）不高于40℃,出风口温度不高于45℃；</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整机能效限定值:产品能效限定值应达到 GB 28380-2012标准中能效等级 2 级及以上；</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机身材质:金属；</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机身颜色:黑色；</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机箱尺寸容量:≤10L；</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CPU物理核数:≥14；</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ascii="宋体" w:hAnsi="宋体" w:cs="宋体"/>
                <w:i/>
                <w:iCs/>
                <w:color w:val="000000"/>
                <w:szCs w:val="21"/>
                <w:highlight w:val="none"/>
                <w:u w:val="single"/>
                <w:lang w:bidi="ar"/>
              </w:rPr>
              <w:t xml:space="preserve">CPU主频</w:t>
            </w:r>
            <w:r>
              <w:rPr>
                <w:rFonts w:hint="eastAsia" w:ascii="宋体" w:hAnsi="宋体" w:cs="宋体"/>
                <w:i/>
                <w:iCs/>
                <w:color w:val="000000"/>
                <w:szCs w:val="21"/>
                <w:highlight w:val="none"/>
                <w:u w:val="single"/>
                <w:lang w:bidi="ar"/>
              </w:rPr>
              <w:t xml:space="preserve">:性能核主频≥2.5GHz；</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CPU末级缓存容量:≥24MB；</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CPU 支持的内存最高速率:≥4800MT/s；</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内存读写速率:≥4800MT/s；</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显示分辨率:≥1920x1080；</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显卡显示芯片核心频率:≥300MHz；</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显存等效频率:≥1000MT/s；</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显卡可支持多屏同时显示数量:≥3；</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显示屏刷新率:≥75Hz；</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显示屏位深:≥8位；</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显示屏色域:≥99%sRGB；</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显示屏色准:△E≤4；</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显示屏响应时间:≤5ms；</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显示屏亮度:≥250 尼特；</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显示屏亮度一致性:≥70%；</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显示屏对比度:≥500：1；</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显示屏其他参数:其它参数应符合 SJ/T 11292 的相关规定；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有线网卡速率:最高速率≥1000Mbps，应支持10/100/1000Mbps速率自适应；</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内存扩展接口(板载内存不涉及):≥2；</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存储扩展接口(板载存储不涉及):SATA3.0≥4、M.2 2280≥2</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主板 USB瞬间过流保护:支持有瞬间过流保护功能；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主板防静电保护:支持防静电保护功能；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I/O 接口功能：</w:t>
            </w:r>
            <w:r>
              <w:rPr>
                <w:rFonts w:ascii="宋体" w:hAnsi="宋体" w:cs="宋体"/>
                <w:i/>
                <w:iCs/>
                <w:color w:val="000000"/>
                <w:szCs w:val="21"/>
                <w:highlight w:val="none"/>
                <w:u w:val="single"/>
                <w:lang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rPr>
                <w:rFonts w:hint="eastAsia" w:ascii="宋体" w:hAnsi="宋体" w:cs="宋体"/>
                <w:i/>
                <w:iCs/>
                <w:color w:val="000000"/>
                <w:szCs w:val="21"/>
                <w:highlight w:val="none"/>
                <w:u w:val="single"/>
                <w:lang w:bidi="ar"/>
              </w:rPr>
              <w:t xml:space="preserve">； </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显卡外接显示接口：显卡至少支持</w:t>
            </w:r>
            <w:r>
              <w:rPr>
                <w:rFonts w:ascii="宋体" w:hAnsi="宋体" w:cs="宋体"/>
                <w:i/>
                <w:iCs/>
                <w:color w:val="000000"/>
                <w:szCs w:val="21"/>
                <w:highlight w:val="none"/>
                <w:u w:val="single"/>
                <w:lang w:bidi="ar"/>
              </w:rPr>
              <w:t xml:space="preserve">VGA</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HDMI</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DVI</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DP</w:t>
            </w:r>
            <w:r>
              <w:rPr>
                <w:rFonts w:hint="eastAsia" w:ascii="宋体" w:hAnsi="宋体" w:cs="宋体"/>
                <w:i/>
                <w:iCs/>
                <w:color w:val="000000"/>
                <w:szCs w:val="21"/>
                <w:highlight w:val="none"/>
                <w:u w:val="single"/>
                <w:lang w:bidi="ar"/>
              </w:rPr>
              <w:t xml:space="preserve">、</w:t>
            </w:r>
            <w:r>
              <w:rPr>
                <w:rFonts w:ascii="宋体" w:hAnsi="宋体" w:cs="宋体"/>
                <w:i/>
                <w:iCs/>
                <w:color w:val="000000"/>
                <w:szCs w:val="21"/>
                <w:highlight w:val="none"/>
                <w:u w:val="single"/>
                <w:lang w:bidi="ar"/>
              </w:rPr>
              <w:t xml:space="preserve">Type-C </w:t>
            </w:r>
            <w:r>
              <w:rPr>
                <w:rFonts w:hint="eastAsia" w:ascii="宋体" w:hAnsi="宋体" w:cs="宋体"/>
                <w:i/>
                <w:iCs/>
                <w:color w:val="000000"/>
                <w:szCs w:val="21"/>
                <w:highlight w:val="none"/>
                <w:u w:val="single"/>
                <w:lang w:bidi="ar"/>
              </w:rPr>
              <w:t xml:space="preserve">中</w:t>
            </w:r>
            <w:r>
              <w:rPr>
                <w:rFonts w:ascii="宋体" w:hAnsi="宋体" w:cs="宋体"/>
                <w:i/>
                <w:iCs/>
                <w:color w:val="000000"/>
                <w:szCs w:val="21"/>
                <w:highlight w:val="none"/>
                <w:u w:val="single"/>
                <w:lang w:bidi="ar"/>
              </w:rPr>
              <w:t xml:space="preserve">1 </w:t>
            </w:r>
            <w:r>
              <w:rPr>
                <w:rFonts w:hint="eastAsia" w:ascii="宋体" w:hAnsi="宋体" w:cs="宋体"/>
                <w:i/>
                <w:iCs/>
                <w:color w:val="000000"/>
                <w:szCs w:val="21"/>
                <w:highlight w:val="none"/>
                <w:u w:val="single"/>
                <w:lang w:bidi="ar"/>
              </w:rPr>
              <w:t xml:space="preserve">种显示接口，并与显示器接口相匹配；</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显示器接口:≥VGA+HDMI+DP；</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显示器支架:显示器提供固定式支架或者旋转/升级支架固定式支架底座；</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显示器参数调节:a)提供OSD选单按钮用于调节色彩、模式等；b)支持色温、亮度、对比度调节；</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存储功能:通过PCIe 固态存储部件提供存储功能；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网络功能:a)支持网络连接、网络开启/关闭功能；b)支持访问网络和数据交换功能；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数据传输:支持数据传输能力，并提供数据流量和异常日志记录功能；</w:t>
            </w:r>
            <w:r>
              <w:rPr>
                <w:highlight w:val="none"/>
              </w:rPr>
            </w:r>
          </w:p>
          <w:p>
            <w:pPr>
              <w:numPr>
                <w:ilvl w:val="0"/>
                <w:numId w:val="12"/>
              </w:numPr>
              <w:tabs>
                <w:tab w:val="left" w:pos="312" w:leader="none"/>
              </w:tabs>
              <w:rPr>
                <w:rFonts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有线网卡接口类型:支持 RJ45 接口，</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网络设备拆装：网络设备支持物理拆装，包括无线网卡和蓝牙模块等； </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音频接口类型:支持 3.5mm 孔径 3 段式或 4 段式接口；</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视频接口类型:至少支持 VGA、HDMI、DVI、DP、Type-C中 1 种显示接口；</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HDMI、DP、Type-C 显示接口要求:若提供 HDMI或DP或Type-C作为显示接口，应支持音频和视频同步输出；</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电源线适配能力:支电源适配器电线组件应符合 GB/T15934 的要求，可拆线的插头和连接器可以不做要求；</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电源:≥320W；</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中文信息处理要求:符合 GB 18030 的相关规定；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操作系统备份及还原功能:支持操作系统备份及还原功能；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固件备份还原能力:支持备份及还原固件的功能；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操作系统及驱动升级:支持通过网络、闪存盘等方式对操作系统、驱动进行升级；</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固件升级:支持通过网络、闪存盘等方式对固件进行升级；</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BIOS 支持关闭通讯接口:支持BIOS关闭以太网及USB接口；</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固件查看信息:支持查看固件版本、内存信息、主板信息、处理器信息和系统时间信息等功能；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固件设置启动顺序:支持设置启动顺序功能，并按照设置的启动顺序启动；</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固件设置口令:支持设置口令、修改口令、验证口令功能；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固件设置网络引导:支持网络引导启动和关闭功能；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固态存储寿命:TBW≥80TB（条件：240GB硬盘容量）；</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显示屏屏幕失效点:符合 GB/T 9813.2 的要求；</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键盘按键寿命:≥1000万次；</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鼠标按键寿命:≥500万次；</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键盘鼠标线材寿命:键盘鼠标所用线材经±60°弯折不低于 3000次，功能、外观完好；</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风扇寿命:≥4万小时；</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电磁兼容性要求的抗扰度:符合 GB/T 9254.2 的规定；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环境条件要求的气候环境适应性:符合 GB/T 9813.1 中规定；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环境条件要求的振动适应性:符合 GB/T 9813.1 中规定；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环境条件要求的冲击适应性:符合 GB/T 9813.1 中规定；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环境条件要求的碰撞适应性:符合 GB/T 9813.1 中规定；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环境条件要求的运输包装件跌落适应性:符合 GB/T 9813.1 中规定；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MTBF测试:MTBF(m1)≥110 万小时；</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常用软件兼容:支持流式软件、版式软件、浏览器、邮件采购人端、解压软件、多媒体、图形图像处理等常用软件。</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数据库兼容:兼容 3 个及以上厂商的数据库产品；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中间件兼容:兼容 3 个及以上厂商中间件产品；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平台软件兼容:兼容 3 个及以上厂商云计算及大数据平台；</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标志、包装、运输和贮存:符合 GB/T 9813.1 和商品包装政府采购需求标准的相关规定；</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配置检查工具:供应商提供自检测试工具；</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服务响应:a)供应商提供电话、电子邮件、远程连接等多种形式服务；b)供应商提供同城 4h、异地 12h 技术响应服务，2 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服务周期:a)设备停产后应继续提供质量保障服务（含备品备件），服务终止时间与最后一批设备交付时间间隔不低于6年；b)产品停止服务时间应提前 1 年告知；c)应明确产品发布日期；</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预装操作系统:预装正版操作系统， </w:t>
            </w:r>
            <w:r>
              <w:rPr>
                <w:highlight w:val="none"/>
              </w:rPr>
            </w:r>
          </w:p>
          <w:p>
            <w:pPr>
              <w:numPr>
                <w:ilvl w:val="0"/>
                <w:numId w:val="12"/>
              </w:numPr>
              <w:tabs>
                <w:tab w:val="left" w:pos="312" w:leader="none"/>
              </w:tabs>
              <w:rPr>
                <w:rFonts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培训服务：供应商提供培训材料、产品手册、培训视频等培训相关内容；</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典型问题解决手册：供应商提供典型问题解决说明文档或；视频；</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厂家升级软件与扩容服务：供应商提供上门升级部件/软件与扩容的增值服务</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整机质量服务要求：免费服务周期（含换件和维修）应不小于 3 年</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合格证书要求：供应商提供产品合格证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开箱组装/使用指导要求：供应商提供开箱组装/使用指导</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驱动下载服务要求：供应商提供驱动光盘或下载方式；</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兼容适配软件下载服务要求：供应商提供兼容适配软件下载渠道（光盘、网站），供应商提供跨架构平台的应用兼容工具，支持一种或者一种以上不同架构平台的应用；</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产品部件保障:供应商保障产品主要部件，提供 6 年的备件服务能力（自购买之日起），或提供可兼容原设备的升级换代产品；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抗干扰性:当产品部件出现供应风险时，供应商应通知采购人并提供风险应对方案确保产品的服务保障；</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供应能力证明:供应商提供供应链稳定承诺书，确保产品的部件在产品服务周期内稳定供货；</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USB 端口管控:支持 USB 端口管控；</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安全物理锁:支持安全物理锁；</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信息安全基本要求:a)产品应符合 GB/T 39276 的 5.2 的规定；b)生产厂商应建立漏洞跟踪表，保证产品版本涉及到的漏洞(如驱动程序等)可查看；c)产品不得包含已知的恶意代码或漏洞，不</w:t>
            </w:r>
            <w:bookmarkStart w:id="40" w:name="_GoBack"/>
            <w:r>
              <w:rPr>
                <w:highlight w:val="none"/>
              </w:rPr>
            </w:r>
            <w:bookmarkEnd w:id="40"/>
            <w:r>
              <w:rPr>
                <w:rFonts w:hint="eastAsia" w:ascii="宋体" w:hAnsi="宋体" w:cs="宋体"/>
                <w:i/>
                <w:iCs/>
                <w:color w:val="000000"/>
                <w:szCs w:val="21"/>
                <w:highlight w:val="none"/>
                <w:u w:val="single"/>
                <w:lang w:bidi="ar"/>
              </w:rPr>
              <w:t xml:space="preserve">存在未声明的指令、功能、接口；</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固件安全启动:支持固件安全启动功能，固件启动过程中只有通过启动校验才能正常启动；</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限用物质的限量要求:符合GB/T 26572 中规定； </w:t>
            </w:r>
            <w:r>
              <w:rPr>
                <w:highlight w:val="none"/>
              </w:rPr>
            </w:r>
          </w:p>
          <w:p>
            <w:pPr>
              <w:numPr>
                <w:ilvl w:val="0"/>
                <w:numId w:val="12"/>
              </w:numPr>
              <w:tabs>
                <w:tab w:val="left" w:pos="312" w:leader="none"/>
              </w:tabs>
              <w:rPr>
                <w:rFonts w:ascii="宋体" w:hAnsi="宋体" w:cs="宋体"/>
                <w:i/>
                <w:iCs/>
                <w:color w:val="000000"/>
                <w:szCs w:val="21"/>
                <w:highlight w:val="none"/>
                <w:u w:val="single"/>
              </w:rPr>
            </w:pPr>
            <w:r>
              <w:rPr>
                <w:rFonts w:hint="eastAsia" w:ascii="宋体" w:hAnsi="宋体" w:cs="宋体"/>
                <w:i/>
                <w:iCs/>
                <w:color w:val="000000"/>
                <w:szCs w:val="21"/>
                <w:highlight w:val="none"/>
                <w:u w:val="single"/>
                <w:lang w:bidi="ar"/>
              </w:rPr>
              <w:t xml:space="preserve">台式机功能要求:BIOS集成网络同传系统；</w:t>
            </w:r>
            <w:r>
              <w:rPr>
                <w:highlight w:val="none"/>
              </w:rPr>
            </w:r>
          </w:p>
          <w:p>
            <w:pPr>
              <w:numPr>
                <w:ilvl w:val="0"/>
                <w:numId w:val="12"/>
              </w:numPr>
              <w:tabs>
                <w:tab w:val="left" w:pos="312" w:leader="none"/>
              </w:tabs>
              <w:rPr>
                <w:rFonts w:hint="eastAsia" w:ascii="宋体" w:hAnsi="宋体" w:cs="宋体"/>
                <w:i/>
                <w:iCs/>
                <w:color w:val="000000"/>
                <w:szCs w:val="21"/>
                <w:highlight w:val="none"/>
                <w:u w:val="single"/>
              </w:rPr>
            </w:pPr>
            <w:r>
              <w:rPr>
                <w:rFonts w:ascii="宋体" w:hAnsi="宋体" w:cs="宋体"/>
                <w:i/>
                <w:iCs/>
                <w:color w:val="000000"/>
                <w:szCs w:val="21"/>
                <w:highlight w:val="none"/>
                <w:u w:val="single"/>
                <w:lang w:bidi="ar"/>
              </w:rPr>
              <w:t xml:space="preserve">所投电脑（含显示器）具有节能产品认证证书（投标文件中提供有效证书（如有附录须提供）扫描件并加盖投标人公章，否则投标无效。证明材料中所投型号须与投标分项报价表中填报的一致）。</w:t>
            </w:r>
            <w:r>
              <w:rPr>
                <w:highlight w:val="none"/>
              </w:rPr>
            </w:r>
          </w:p>
        </w:tc>
      </w:tr>
      <w:tr>
        <w:trPr>
          <w:trHeight w:val="20"/>
        </w:trPr>
        <w:tc>
          <w:tcPr>
            <w:tcBorders>
              <w:top w:val="none" w:color="000000" w:sz="4" w:space="0"/>
              <w:left w:val="single" w:color="000000" w:sz="4" w:space="0"/>
              <w:bottom w:val="none" w:color="000000" w:sz="4" w:space="0"/>
              <w:right w:val="single" w:color="000000" w:sz="4" w:space="0"/>
            </w:tcBorders>
            <w:tcW w:w="459" w:type="dxa"/>
            <w:vAlign w:val="center"/>
            <w:vMerge w:val="restart"/>
            <w:textDirection w:val="lrTb"/>
            <w:noWrap/>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none" w:color="000000" w:sz="4" w:space="0"/>
              <w:left w:val="none" w:color="000000" w:sz="4" w:space="0"/>
              <w:bottom w:val="none" w:color="000000" w:sz="4" w:space="0"/>
              <w:right w:val="single" w:color="000000" w:sz="4" w:space="0"/>
            </w:tcBorders>
            <w:tcW w:w="887" w:type="dxa"/>
            <w:vAlign w:val="center"/>
            <w:vMerge w:val="restart"/>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t xml:space="preserve">数智企业经营管理沙盘</w:t>
            </w:r>
            <w:r/>
          </w:p>
        </w:tc>
        <w:tc>
          <w:tcPr>
            <w:tcBorders>
              <w:top w:val="none" w:color="000000" w:sz="4" w:space="0"/>
              <w:left w:val="none" w:color="000000" w:sz="4" w:space="0"/>
              <w:bottom w:val="single" w:color="000000" w:sz="4" w:space="0"/>
              <w:right w:val="single" w:color="000000" w:sz="4" w:space="0"/>
            </w:tcBorders>
            <w:tcW w:w="7063" w:type="dxa"/>
            <w:vAlign w:val="center"/>
            <w:textDirection w:val="lrTb"/>
            <w:noWrap w:val="false"/>
          </w:tcPr>
          <w:p>
            <w:pPr>
              <w:jc w:val="left"/>
              <w:widowControl/>
              <w:rPr>
                <w:rFonts w:ascii="宋体" w:hAnsi="宋体" w:cs="宋体"/>
                <w:b/>
                <w:bCs/>
                <w:color w:val="000000"/>
                <w:sz w:val="21"/>
                <w:szCs w:val="21"/>
              </w:rPr>
            </w:pPr>
            <w:r>
              <w:rPr>
                <w:rFonts w:hint="eastAsia" w:ascii="宋体" w:hAnsi="宋体" w:cs="宋体"/>
                <w:b/>
                <w:bCs/>
                <w:color w:val="000000"/>
                <w:sz w:val="21"/>
                <w:szCs w:val="21"/>
              </w:rPr>
              <w:t xml:space="preserve">技术指标：</w:t>
            </w:r>
            <w:r/>
          </w:p>
          <w:p>
            <w:pPr>
              <w:pStyle w:val="849"/>
              <w:numPr>
                <w:ilvl w:val="0"/>
                <w:numId w:val="13"/>
              </w:numPr>
              <w:ind w:left="0" w:hanging="36"/>
              <w:spacing w:line="240" w:lineRule="auto"/>
              <w:rPr>
                <w:rFonts w:hint="eastAsia" w:ascii="宋体" w:hAnsi="宋体" w:eastAsia="宋体"/>
                <w:sz w:val="21"/>
                <w:szCs w:val="21"/>
              </w:rPr>
            </w:pPr>
            <w:r>
              <w:rPr>
                <w:rFonts w:hint="eastAsia" w:ascii="宋体" w:hAnsi="宋体" w:eastAsia="宋体"/>
                <w:sz w:val="21"/>
                <w:szCs w:val="21"/>
              </w:rPr>
              <w:t xml:space="preserve">基于微服务模式，应用主流的Spring Cloud框架进行系统划分。</w:t>
            </w:r>
            <w:r/>
          </w:p>
          <w:p>
            <w:pPr>
              <w:pStyle w:val="849"/>
              <w:numPr>
                <w:ilvl w:val="0"/>
                <w:numId w:val="13"/>
              </w:numPr>
              <w:ind w:left="0" w:hanging="36"/>
              <w:spacing w:line="240" w:lineRule="auto"/>
              <w:rPr>
                <w:rFonts w:hint="eastAsia" w:ascii="宋体" w:hAnsi="宋体" w:eastAsia="宋体"/>
                <w:sz w:val="21"/>
                <w:szCs w:val="21"/>
              </w:rPr>
            </w:pPr>
            <w:r>
              <w:rPr>
                <w:rFonts w:hint="eastAsia" w:ascii="宋体" w:hAnsi="宋体" w:eastAsia="宋体"/>
                <w:sz w:val="21"/>
                <w:szCs w:val="21"/>
                <w:lang w:eastAsia="zh-CN"/>
              </w:rPr>
              <w:t xml:space="preserve">核心业务逻辑采用JAVA语言实现，数据库采用MySQL。</w:t>
            </w:r>
            <w:r/>
          </w:p>
          <w:p>
            <w:pPr>
              <w:pStyle w:val="849"/>
              <w:numPr>
                <w:ilvl w:val="0"/>
                <w:numId w:val="13"/>
              </w:numPr>
              <w:ind w:left="0" w:hanging="36"/>
              <w:spacing w:line="240" w:lineRule="auto"/>
              <w:rPr>
                <w:rFonts w:hint="eastAsia" w:ascii="宋体" w:hAnsi="宋体" w:eastAsia="宋体"/>
                <w:sz w:val="21"/>
                <w:szCs w:val="21"/>
              </w:rPr>
            </w:pPr>
            <w:r>
              <w:rPr>
                <w:rFonts w:hint="eastAsia" w:ascii="宋体" w:hAnsi="宋体" w:eastAsia="宋体"/>
                <w:sz w:val="21"/>
                <w:szCs w:val="21"/>
              </w:rPr>
              <w:t xml:space="preserve">支持私有云部署，兼容Windows和Linux等主流操作系统，程序提供了Windows快速安装程序。</w:t>
            </w:r>
            <w:r/>
          </w:p>
          <w:p>
            <w:pPr>
              <w:pStyle w:val="849"/>
              <w:numPr>
                <w:ilvl w:val="0"/>
                <w:numId w:val="13"/>
              </w:numPr>
              <w:ind w:left="0" w:hanging="36"/>
              <w:spacing w:line="240" w:lineRule="auto"/>
              <w:rPr>
                <w:rFonts w:hint="eastAsia" w:ascii="宋体" w:hAnsi="宋体" w:eastAsia="宋体"/>
                <w:sz w:val="21"/>
                <w:szCs w:val="21"/>
              </w:rPr>
            </w:pPr>
            <w:r>
              <w:rPr>
                <w:rFonts w:hint="eastAsia" w:ascii="宋体" w:hAnsi="宋体" w:eastAsia="宋体"/>
                <w:sz w:val="21"/>
                <w:szCs w:val="21"/>
                <w:lang w:eastAsia="zh-CN"/>
              </w:rPr>
              <w:t xml:space="preserve">前后端完全分离，数据通信时要保证数据安全。</w:t>
            </w:r>
            <w:r/>
          </w:p>
          <w:p>
            <w:pPr>
              <w:pStyle w:val="849"/>
              <w:numPr>
                <w:ilvl w:val="0"/>
                <w:numId w:val="13"/>
              </w:numPr>
              <w:ind w:left="0" w:hanging="36"/>
              <w:spacing w:line="240" w:lineRule="auto"/>
              <w:rPr>
                <w:rFonts w:hint="eastAsia" w:ascii="宋体" w:hAnsi="宋体" w:eastAsia="宋体"/>
                <w:sz w:val="21"/>
                <w:szCs w:val="21"/>
              </w:rPr>
            </w:pPr>
            <w:r>
              <w:rPr>
                <w:rFonts w:hint="eastAsia" w:ascii="宋体" w:hAnsi="宋体" w:eastAsia="宋体"/>
                <w:sz w:val="21"/>
                <w:szCs w:val="21"/>
                <w:lang w:eastAsia="zh-CN"/>
              </w:rPr>
              <w:t xml:space="preserve">技术平台先进，采用B/S架构，有良好的可扩展性。</w:t>
            </w:r>
            <w:r/>
          </w:p>
          <w:p>
            <w:pPr>
              <w:pStyle w:val="849"/>
              <w:numPr>
                <w:ilvl w:val="0"/>
                <w:numId w:val="13"/>
              </w:numPr>
              <w:ind w:left="0" w:hanging="36"/>
              <w:spacing w:line="240" w:lineRule="auto"/>
              <w:rPr>
                <w:rFonts w:hint="eastAsia"/>
                <w:sz w:val="21"/>
                <w:szCs w:val="21"/>
              </w:rPr>
            </w:pPr>
            <w:r>
              <w:rPr>
                <w:rFonts w:hint="eastAsia" w:ascii="宋体" w:hAnsi="宋体" w:eastAsia="宋体"/>
                <w:sz w:val="21"/>
                <w:szCs w:val="21"/>
                <w:lang w:eastAsia="zh-CN"/>
              </w:rPr>
              <w:t xml:space="preserve">内置算法，能自动采集数据，输出指定的模型数据以及计算过程。</w:t>
            </w:r>
            <w:r/>
          </w:p>
        </w:tc>
      </w:tr>
      <w:tr>
        <w:trPr>
          <w:trHeight w:val="90"/>
        </w:trPr>
        <w:tc>
          <w:tcPr>
            <w:tcBorders>
              <w:top w:val="none" w:color="000000" w:sz="4" w:space="0"/>
              <w:left w:val="single" w:color="000000" w:sz="4" w:space="0"/>
              <w:bottom w:val="none" w:color="000000" w:sz="4" w:space="0"/>
              <w:right w:val="single" w:color="000000" w:sz="4" w:space="0"/>
            </w:tcBorders>
            <w:tcW w:w="459" w:type="dxa"/>
            <w:vAlign w:val="center"/>
            <w:vMerge w:val="continue"/>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4" w:space="0"/>
            </w:tcBorders>
            <w:tcW w:w="887"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63" w:type="dxa"/>
            <w:vAlign w:val="center"/>
            <w:textDirection w:val="lrTb"/>
            <w:noWrap w:val="false"/>
          </w:tcPr>
          <w:p>
            <w:pPr>
              <w:rPr>
                <w:rFonts w:ascii="宋体" w:hAnsi="宋体"/>
                <w:sz w:val="21"/>
                <w:szCs w:val="21"/>
              </w:rPr>
            </w:pPr>
            <w:r>
              <w:rPr>
                <w:rFonts w:hint="eastAsia" w:ascii="宋体" w:hAnsi="宋体"/>
                <w:b/>
                <w:bCs/>
                <w:sz w:val="21"/>
                <w:szCs w:val="21"/>
              </w:rPr>
              <w:t xml:space="preserve">教学总体内容指标：</w:t>
            </w:r>
            <w:r/>
          </w:p>
          <w:p>
            <w:pPr>
              <w:rPr>
                <w:rFonts w:hint="eastAsia" w:ascii="宋体" w:hAnsi="宋体"/>
                <w:sz w:val="21"/>
                <w:szCs w:val="21"/>
              </w:rPr>
            </w:pPr>
            <w:r>
              <w:rPr>
                <w:rFonts w:hint="eastAsia" w:ascii="宋体" w:hAnsi="宋体"/>
                <w:sz w:val="21"/>
                <w:szCs w:val="21"/>
              </w:rPr>
              <w:t xml:space="preserve">数智企业经营管理沙盘通过沙盘模拟经营的方式，帮助学生理解企业经营管理以及数字化技术为企业带来的场景变革。</w:t>
            </w:r>
            <w:r/>
          </w:p>
          <w:p>
            <w:pPr>
              <w:rPr>
                <w:rFonts w:hint="eastAsia" w:ascii="宋体" w:hAnsi="宋体"/>
                <w:sz w:val="21"/>
                <w:szCs w:val="21"/>
              </w:rPr>
            </w:pPr>
            <w:r>
              <w:rPr>
                <w:rFonts w:hint="eastAsia" w:ascii="宋体" w:hAnsi="宋体"/>
                <w:sz w:val="21"/>
                <w:szCs w:val="21"/>
              </w:rPr>
              <w:t xml:space="preserve">▲1.通过分岗经营的方式来学习企业经营管理流程，设置财务经理岗位、运营经理岗位、人力资源经理岗位、营销经理岗位至少4个岗位，支持怀旧模式和数智模式两种交互模式学习。</w:t>
            </w:r>
            <w:r>
              <w:rPr>
                <w:rFonts w:hint="eastAsia" w:ascii="宋体" w:hAnsi="宋体"/>
                <w:b/>
                <w:bCs/>
                <w:sz w:val="21"/>
                <w:szCs w:val="21"/>
              </w:rPr>
              <w:t xml:space="preserve">（提供功能界面截图证明并加盖投标人公章）</w:t>
            </w:r>
            <w:r/>
          </w:p>
          <w:p>
            <w:pPr>
              <w:rPr>
                <w:rFonts w:hint="eastAsia" w:ascii="宋体" w:hAnsi="宋体"/>
                <w:b/>
                <w:bCs/>
                <w:sz w:val="21"/>
                <w:szCs w:val="21"/>
              </w:rPr>
            </w:pPr>
            <w:r>
              <w:rPr>
                <w:rFonts w:hint="eastAsia" w:ascii="宋体" w:hAnsi="宋体"/>
                <w:sz w:val="21"/>
                <w:szCs w:val="21"/>
              </w:rPr>
              <w:t xml:space="preserve">▲2.展现大数据技术。数智模式下，支持查看生产大数据看板。看板可自由调整展示的参数内容，可调参数都不少于20个，且包括企业自身实时数据和其他企业的实时数据，可根据需要DIY配置看板内容。</w:t>
            </w:r>
            <w:r>
              <w:rPr>
                <w:rFonts w:hint="eastAsia" w:ascii="宋体" w:hAnsi="宋体"/>
                <w:b/>
                <w:bCs/>
                <w:sz w:val="21"/>
                <w:szCs w:val="21"/>
              </w:rPr>
              <w:t xml:space="preserve">（提供功能界面截图证明并加盖投标人公章）</w:t>
            </w:r>
            <w:r/>
          </w:p>
          <w:p>
            <w:pPr>
              <w:rPr>
                <w:rFonts w:hint="eastAsia" w:ascii="宋体" w:hAnsi="宋体"/>
                <w:sz w:val="21"/>
                <w:szCs w:val="21"/>
              </w:rPr>
            </w:pPr>
            <w:r>
              <w:rPr>
                <w:rFonts w:hint="eastAsia" w:ascii="宋体" w:hAnsi="宋体"/>
                <w:sz w:val="21"/>
                <w:szCs w:val="21"/>
              </w:rPr>
              <w:t xml:space="preserve">▲3.智慧企业经营场景。沙盘模拟智慧企业中智能生产的实际场景，仅需选择生产产品的种类，算法自动完成生产现场管理中采购、入库、生产出库、工人排产能管理场景。</w:t>
            </w:r>
            <w:r>
              <w:rPr>
                <w:rFonts w:hint="eastAsia" w:ascii="宋体" w:hAnsi="宋体"/>
                <w:b/>
                <w:bCs/>
                <w:sz w:val="21"/>
                <w:szCs w:val="21"/>
              </w:rPr>
              <w:t xml:space="preserve">（提供功能界面截图证明并加盖投标人公章）</w:t>
            </w:r>
            <w:r/>
          </w:p>
          <w:p>
            <w:pPr>
              <w:rPr>
                <w:rFonts w:ascii="宋体" w:hAnsi="宋体"/>
                <w:sz w:val="21"/>
                <w:szCs w:val="21"/>
              </w:rPr>
            </w:pPr>
            <w:r>
              <w:rPr>
                <w:rFonts w:hint="eastAsia" w:ascii="宋体" w:hAnsi="宋体"/>
                <w:sz w:val="21"/>
                <w:szCs w:val="21"/>
              </w:rPr>
              <w:t xml:space="preserve">▲4.</w:t>
            </w:r>
            <w:r>
              <w:rPr>
                <w:rFonts w:ascii="宋体" w:hAnsi="宋体"/>
                <w:sz w:val="21"/>
                <w:szCs w:val="21"/>
              </w:rPr>
              <w:t xml:space="preserve"> AI+辅助教学。设置AI智能学习助手，可通过问答式交互方式辅助学生经营，支持市场分析、人力资源分析、设备分析、融资复盘、财务复盘、营销复盘等6大类分析场景。</w:t>
            </w:r>
            <w:r>
              <w:rPr>
                <w:rFonts w:hint="eastAsia" w:ascii="宋体" w:hAnsi="宋体"/>
                <w:b/>
                <w:bCs/>
                <w:sz w:val="21"/>
                <w:szCs w:val="21"/>
              </w:rPr>
              <w:t xml:space="preserve">（提供功能界面截图证明并加盖投标人公章）</w:t>
            </w:r>
            <w:r/>
          </w:p>
          <w:p>
            <w:pPr>
              <w:rPr>
                <w:rFonts w:hint="eastAsia" w:ascii="宋体" w:hAnsi="宋体"/>
                <w:sz w:val="21"/>
                <w:szCs w:val="21"/>
              </w:rPr>
            </w:pPr>
            <w:r>
              <w:rPr>
                <w:rFonts w:hint="eastAsia" w:ascii="宋体" w:hAnsi="宋体"/>
                <w:sz w:val="21"/>
                <w:szCs w:val="21"/>
              </w:rPr>
              <w:t xml:space="preserve">▲5.实时数据。支持教师从教师端实时显示学生每一步操作后资产负债表、利润表、费用表、流量表的数据变化。</w:t>
            </w:r>
            <w:r>
              <w:rPr>
                <w:rFonts w:hint="eastAsia" w:ascii="宋体" w:hAnsi="宋体"/>
                <w:b/>
                <w:bCs/>
                <w:sz w:val="21"/>
                <w:szCs w:val="21"/>
              </w:rPr>
              <w:t xml:space="preserve">（提供功能界面截图证明并加盖投标人公章）</w:t>
            </w:r>
            <w:r/>
          </w:p>
          <w:p>
            <w:pPr>
              <w:rPr>
                <w:rFonts w:ascii="宋体" w:hAnsi="宋体"/>
                <w:sz w:val="21"/>
                <w:szCs w:val="21"/>
              </w:rPr>
            </w:pPr>
            <w:r>
              <w:rPr>
                <w:rFonts w:hint="eastAsia" w:ascii="宋体" w:hAnsi="宋体"/>
                <w:sz w:val="21"/>
                <w:szCs w:val="21"/>
              </w:rPr>
              <w:t xml:space="preserve">▲6.</w:t>
            </w:r>
            <w:r>
              <w:rPr>
                <w:rFonts w:ascii="宋体" w:hAnsi="宋体"/>
                <w:sz w:val="21"/>
                <w:szCs w:val="21"/>
              </w:rPr>
              <w:t xml:space="preserve"> 课程思政化。课程中含有7种思政元素，包括创办一流企业、勇于创新、诚信守法、社会责任、国际视野、依法纳税</w:t>
            </w:r>
            <w:r>
              <w:rPr>
                <w:rFonts w:hint="eastAsia" w:ascii="宋体" w:hAnsi="宋体"/>
                <w:sz w:val="21"/>
                <w:szCs w:val="21"/>
              </w:rPr>
              <w:t xml:space="preserve">等。</w:t>
            </w:r>
            <w:r>
              <w:rPr>
                <w:rFonts w:hint="eastAsia" w:ascii="宋体" w:hAnsi="宋体"/>
                <w:b/>
                <w:bCs/>
                <w:sz w:val="21"/>
                <w:szCs w:val="21"/>
              </w:rPr>
              <w:t xml:space="preserve">（提供功能界面截图证明并加盖投标人公章）</w:t>
            </w:r>
            <w:r/>
          </w:p>
          <w:p>
            <w:pPr>
              <w:pStyle w:val="886"/>
              <w:numPr>
                <w:ilvl w:val="0"/>
                <w:numId w:val="14"/>
              </w:numPr>
              <w:rPr>
                <w:rFonts w:hint="eastAsia" w:ascii="宋体" w:hAnsi="宋体" w:eastAsia="宋体"/>
                <w:sz w:val="21"/>
                <w:szCs w:val="21"/>
              </w:rPr>
            </w:pPr>
            <w:r>
              <w:rPr>
                <w:rFonts w:hint="eastAsia" w:ascii="宋体" w:hAnsi="宋体" w:eastAsia="宋体"/>
                <w:b/>
                <w:bCs/>
                <w:sz w:val="21"/>
                <w:szCs w:val="21"/>
              </w:rPr>
              <w:t xml:space="preserve">教学管理平台功能指标</w:t>
            </w:r>
            <w:r/>
          </w:p>
          <w:p>
            <w:pPr>
              <w:pStyle w:val="886"/>
              <w:ind w:firstLine="0"/>
              <w:rPr>
                <w:rFonts w:hint="eastAsia" w:ascii="宋体" w:hAnsi="宋体" w:eastAsia="宋体"/>
                <w:sz w:val="21"/>
                <w:szCs w:val="21"/>
              </w:rPr>
            </w:pPr>
            <w:r>
              <w:rPr>
                <w:rFonts w:hint="eastAsia" w:ascii="宋体" w:hAnsi="宋体" w:eastAsia="宋体"/>
                <w:sz w:val="21"/>
                <w:szCs w:val="21"/>
              </w:rPr>
              <w:t xml:space="preserve">1.平台无缝集成：教学管理平台与沙盘系统实现无缝衔接，同一平台，单点登录</w:t>
            </w:r>
            <w:r>
              <w:rPr>
                <w:rFonts w:hint="eastAsia" w:ascii="宋体" w:hAnsi="宋体" w:eastAsia="宋体"/>
                <w:sz w:val="21"/>
                <w:szCs w:val="21"/>
                <w:lang w:val="en-US"/>
              </w:rPr>
              <w:t xml:space="preserve">(</w:t>
            </w:r>
            <w:r>
              <w:rPr>
                <w:rFonts w:hint="eastAsia" w:ascii="宋体" w:hAnsi="宋体" w:eastAsia="宋体"/>
                <w:sz w:val="21"/>
                <w:szCs w:val="21"/>
              </w:rPr>
              <w:t xml:space="preserve">同一网址</w:t>
            </w:r>
            <w:r>
              <w:rPr>
                <w:rFonts w:hint="eastAsia" w:ascii="宋体" w:hAnsi="宋体" w:eastAsia="宋体"/>
                <w:sz w:val="21"/>
                <w:szCs w:val="21"/>
                <w:lang w:val="en-US"/>
              </w:rPr>
              <w:t xml:space="preserve">)。</w:t>
            </w:r>
            <w:r>
              <w:rPr>
                <w:rFonts w:hint="eastAsia" w:ascii="宋体" w:hAnsi="宋体" w:eastAsia="宋体"/>
                <w:sz w:val="21"/>
                <w:szCs w:val="21"/>
              </w:rPr>
              <w:t xml:space="preserve">教师可通过教学管理功能实时掌握学生的经营数据。</w:t>
            </w:r>
            <w:r/>
          </w:p>
          <w:p>
            <w:pPr>
              <w:pStyle w:val="886"/>
              <w:ind w:firstLine="0"/>
              <w:rPr>
                <w:rFonts w:hint="eastAsia" w:ascii="宋体" w:hAnsi="宋体" w:eastAsia="宋体"/>
                <w:sz w:val="21"/>
                <w:szCs w:val="21"/>
              </w:rPr>
            </w:pPr>
            <w:r>
              <w:rPr>
                <w:rFonts w:hint="eastAsia" w:ascii="宋体" w:hAnsi="宋体" w:eastAsia="宋体"/>
                <w:sz w:val="21"/>
                <w:szCs w:val="21"/>
              </w:rPr>
              <w:t xml:space="preserve">2.理实结合：平台提供三个标准案例和17个相关理论PPT，具备理论知识和实践平台，满足学生同时进行理论和实践学习。</w:t>
            </w:r>
            <w:r/>
          </w:p>
          <w:p>
            <w:pPr>
              <w:pStyle w:val="886"/>
              <w:ind w:firstLine="0"/>
              <w:rPr>
                <w:rFonts w:hint="eastAsia" w:ascii="宋体" w:hAnsi="宋体" w:eastAsia="宋体"/>
                <w:sz w:val="21"/>
                <w:szCs w:val="21"/>
              </w:rPr>
            </w:pPr>
            <w:r>
              <w:rPr>
                <w:rFonts w:hint="eastAsia" w:ascii="宋体" w:hAnsi="宋体" w:eastAsia="宋体"/>
                <w:sz w:val="21"/>
                <w:szCs w:val="21"/>
              </w:rPr>
              <w:t xml:space="preserve">3.多维度评分：平台内置多维度评分模式，教师可以在【实践得分】、【总结得分】、【主观评分】三项内容范围内自由设定比例，系统会根据学生的学习情况以及教师的打分情况，自动计算出学生的最终得分。</w:t>
            </w:r>
            <w:r/>
          </w:p>
          <w:p>
            <w:pPr>
              <w:pStyle w:val="886"/>
              <w:ind w:firstLine="0"/>
              <w:rPr>
                <w:rFonts w:hint="eastAsia" w:ascii="宋体" w:hAnsi="宋体" w:eastAsia="宋体"/>
                <w:sz w:val="21"/>
                <w:szCs w:val="21"/>
              </w:rPr>
            </w:pPr>
            <w:r>
              <w:rPr>
                <w:rFonts w:hint="eastAsia" w:ascii="宋体" w:hAnsi="宋体" w:eastAsia="宋体"/>
                <w:sz w:val="21"/>
                <w:szCs w:val="21"/>
              </w:rPr>
              <w:t xml:space="preserve">4.实训组织形式：针对院校教学计划及学生基础不同，支持选择集中实训或按照周课时进行实训，支持学生单人全岗、多人分岗的实训方式，教师可随时掌控学生整体进度。</w:t>
            </w:r>
            <w:r/>
          </w:p>
          <w:p>
            <w:pPr>
              <w:pStyle w:val="886"/>
              <w:ind w:firstLine="0"/>
              <w:rPr>
                <w:rFonts w:hint="eastAsia" w:ascii="宋体" w:hAnsi="宋体" w:eastAsia="宋体"/>
                <w:sz w:val="21"/>
                <w:szCs w:val="21"/>
              </w:rPr>
            </w:pPr>
            <w:r>
              <w:rPr>
                <w:rFonts w:hint="eastAsia" w:ascii="宋体" w:hAnsi="宋体" w:eastAsia="宋体"/>
                <w:sz w:val="21"/>
                <w:szCs w:val="21"/>
              </w:rPr>
              <w:t xml:space="preserve">▲5.实训案例：课程提供通用制造、汽车制造、服装制造这三种不同的规则参数。</w:t>
            </w:r>
            <w:r>
              <w:rPr>
                <w:rFonts w:hint="eastAsia" w:ascii="宋体" w:hAnsi="宋体" w:eastAsia="宋体"/>
                <w:b/>
                <w:bCs/>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教学内容：提供模拟企业经营相关的知识点PPT课件，并可在线查看。</w:t>
            </w:r>
            <w:r/>
          </w:p>
          <w:p>
            <w:pPr>
              <w:pStyle w:val="886"/>
              <w:ind w:firstLine="0"/>
              <w:rPr>
                <w:rFonts w:hint="eastAsia" w:ascii="宋体" w:hAnsi="宋体" w:eastAsia="宋体"/>
                <w:sz w:val="21"/>
                <w:szCs w:val="21"/>
              </w:rPr>
            </w:pPr>
            <w:r>
              <w:rPr>
                <w:rFonts w:hint="eastAsia" w:ascii="宋体" w:hAnsi="宋体" w:eastAsia="宋体"/>
                <w:sz w:val="21"/>
                <w:szCs w:val="21"/>
              </w:rPr>
              <w:t xml:space="preserve">▲6. 教学内容：提供模拟企业经营相关的知识点PPT课件，并可在线查看。</w:t>
            </w:r>
            <w:r>
              <w:rPr>
                <w:rFonts w:hint="eastAsia" w:ascii="宋体" w:hAnsi="宋体" w:eastAsia="宋体"/>
                <w:b/>
                <w:bCs/>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▲7.规则导入：支持教师自行将规则文件使用导入功能导入到系统中，并可以立即使用。</w:t>
            </w:r>
            <w:r>
              <w:rPr>
                <w:rFonts w:hint="eastAsia" w:ascii="宋体" w:hAnsi="宋体" w:eastAsia="宋体"/>
                <w:b/>
                <w:bCs/>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▲8.教师工具台：为教师提供15项实践控制功能，包括突发事件、数据调整、注资、补单工具、破产处理、材料订单处理、报表核验等。</w:t>
            </w:r>
            <w:r>
              <w:rPr>
                <w:rFonts w:hint="eastAsia" w:ascii="宋体" w:hAnsi="宋体" w:eastAsia="宋体"/>
                <w:b/>
                <w:bCs/>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▲9. AI智能助手：设置AI智能学习助手，可通过问答式交互方式辅助学生经营，支持市场分析、人力资源分析、设备分析、融资复盘、财务复盘、营销复盘等6大类分析场景。</w:t>
            </w:r>
            <w:r>
              <w:rPr>
                <w:rFonts w:hint="eastAsia" w:ascii="宋体" w:hAnsi="宋体" w:eastAsia="宋体"/>
                <w:b/>
                <w:bCs/>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▲10.单组还原：支持在不影响其他企业经营进度的情况下，将个别小组数据回退至上一节点。</w:t>
            </w:r>
            <w:r>
              <w:rPr>
                <w:rFonts w:hint="eastAsia" w:ascii="宋体" w:hAnsi="宋体" w:eastAsia="宋体"/>
                <w:b/>
                <w:bCs/>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11.支持智能分析中心拓展模块。</w:t>
            </w:r>
            <w:r/>
          </w:p>
          <w:p>
            <w:pPr>
              <w:pStyle w:val="886"/>
              <w:numPr>
                <w:ilvl w:val="0"/>
                <w:numId w:val="14"/>
              </w:numPr>
              <w:rPr>
                <w:rFonts w:hint="eastAsia" w:ascii="宋体" w:hAnsi="宋体" w:eastAsia="宋体"/>
                <w:b/>
                <w:bCs/>
                <w:sz w:val="21"/>
                <w:szCs w:val="21"/>
              </w:rPr>
            </w:pPr>
            <w:r>
              <w:rPr>
                <w:rFonts w:hint="eastAsia" w:ascii="宋体" w:hAnsi="宋体" w:eastAsia="宋体"/>
                <w:b/>
                <w:bCs/>
                <w:sz w:val="21"/>
                <w:szCs w:val="21"/>
              </w:rPr>
              <w:t xml:space="preserve">数智企业经营管理沙盘系统功能指标</w:t>
            </w:r>
            <w:r/>
          </w:p>
          <w:p>
            <w:pPr>
              <w:pStyle w:val="886"/>
              <w:ind w:firstLine="0"/>
              <w:rPr>
                <w:rFonts w:hint="eastAsia" w:ascii="宋体" w:hAnsi="宋体" w:eastAsia="宋体"/>
                <w:sz w:val="21"/>
                <w:szCs w:val="21"/>
              </w:rPr>
            </w:pPr>
            <w:r>
              <w:rPr>
                <w:rFonts w:hint="eastAsia" w:ascii="宋体" w:hAnsi="宋体" w:eastAsia="宋体"/>
                <w:sz w:val="21"/>
                <w:szCs w:val="21"/>
              </w:rPr>
              <w:t xml:space="preserve">1.企业信息化经营模拟阶段</w:t>
            </w:r>
            <w:r/>
          </w:p>
          <w:p>
            <w:pPr>
              <w:ind w:left="-2" w:hanging="36"/>
              <w:rPr>
                <w:rFonts w:hint="eastAsia" w:ascii="宋体" w:hAnsi="宋体"/>
                <w:sz w:val="21"/>
                <w:szCs w:val="21"/>
              </w:rPr>
            </w:pPr>
            <w:r>
              <w:rPr>
                <w:rFonts w:hint="eastAsia" w:ascii="宋体" w:hAnsi="宋体"/>
                <w:sz w:val="21"/>
                <w:szCs w:val="21"/>
              </w:rPr>
              <w:t xml:space="preserve">企业信息化经营模拟阶段主要考察团队在信息化环境中企业运营管理能力和管理工具的应用能力。</w:t>
            </w:r>
            <w:r/>
          </w:p>
          <w:p>
            <w:pPr>
              <w:pStyle w:val="888"/>
              <w:numPr>
                <w:ilvl w:val="0"/>
                <w:numId w:val="0"/>
              </w:numPr>
              <w:ind w:left="-2" w:hanging="36"/>
              <w:spacing w:line="240" w:lineRule="auto"/>
              <w:rPr>
                <w:color w:val="000000"/>
                <w:sz w:val="21"/>
                <w:szCs w:val="21"/>
              </w:rPr>
            </w:pPr>
            <w:r>
              <w:rPr>
                <w:color w:val="000000"/>
                <w:sz w:val="21"/>
                <w:szCs w:val="21"/>
              </w:rPr>
              <w:t xml:space="preserve">考查学生分析市场需求与经营参数，以销定产，通过营运资金管理，供应链生产管理生产产品，交付订单，获取利润，推进企业发展，检验团队企业经营管理综合能力。</w:t>
            </w:r>
            <w:r/>
          </w:p>
          <w:p>
            <w:pPr>
              <w:pStyle w:val="886"/>
              <w:ind w:left="-2" w:firstLine="0"/>
              <w:rPr>
                <w:rFonts w:hint="eastAsia" w:ascii="宋体" w:hAnsi="宋体" w:eastAsia="宋体"/>
                <w:sz w:val="21"/>
                <w:szCs w:val="21"/>
              </w:rPr>
            </w:pPr>
            <w:r>
              <w:rPr>
                <w:rFonts w:hint="eastAsia" w:ascii="宋体" w:hAnsi="宋体" w:eastAsia="宋体"/>
                <w:sz w:val="21"/>
                <w:szCs w:val="21"/>
              </w:rPr>
              <w:t xml:space="preserve">2.企业数字化经营模拟阶段</w:t>
            </w:r>
            <w:r/>
          </w:p>
          <w:p>
            <w:pPr>
              <w:ind w:left="-2" w:hanging="36"/>
              <w:rPr>
                <w:rFonts w:hint="eastAsia" w:ascii="宋体" w:hAnsi="宋体"/>
                <w:sz w:val="21"/>
                <w:szCs w:val="21"/>
              </w:rPr>
            </w:pPr>
            <w:r>
              <w:rPr>
                <w:rFonts w:hint="eastAsia" w:ascii="宋体" w:hAnsi="宋体"/>
                <w:sz w:val="21"/>
                <w:szCs w:val="21"/>
              </w:rPr>
              <w:t xml:space="preserve">企业数字化经营模拟阶段主要考察团队数字化技术应用能力及企业经营综合决策能力。</w:t>
            </w:r>
            <w:r/>
          </w:p>
          <w:p>
            <w:pPr>
              <w:pStyle w:val="888"/>
              <w:numPr>
                <w:ilvl w:val="0"/>
                <w:numId w:val="0"/>
              </w:numPr>
              <w:ind w:left="-2" w:hanging="36"/>
              <w:spacing w:line="240" w:lineRule="auto"/>
              <w:rPr>
                <w:color w:val="000000"/>
                <w:sz w:val="21"/>
                <w:szCs w:val="21"/>
              </w:rPr>
            </w:pPr>
            <w:r>
              <w:rPr>
                <w:color w:val="000000"/>
                <w:sz w:val="21"/>
                <w:szCs w:val="21"/>
              </w:rPr>
              <w:t xml:space="preserve">▲3.在沙盘模拟中进行数字化转型：可借助算法，仅需选择生产产品的种类，算法自动完成生产现场管理中采购、入库、生产出库、工人排产能管理场景；</w:t>
            </w:r>
            <w:r>
              <w:rPr>
                <w:color w:val="000000"/>
                <w:sz w:val="21"/>
                <w:szCs w:val="21"/>
                <w:lang w:val="en-US"/>
              </w:rPr>
              <w:t xml:space="preserve">支持查看生产大数据看板。看板可自由调整展示的参数内容，可调参数都不少于20个，且包括企业自身实时数据和其他企业的实时数据，可根据需要DIY配置看板内容。</w:t>
            </w:r>
            <w:r>
              <w:rPr>
                <w:b/>
                <w:bCs/>
                <w:color w:val="000000"/>
                <w:sz w:val="21"/>
                <w:szCs w:val="21"/>
                <w:lang w:val="en-US"/>
              </w:rPr>
              <w:t xml:space="preserve">（提供功能界面截图证明并加盖投标人公章）</w:t>
            </w:r>
            <w:r/>
          </w:p>
          <w:p>
            <w:pPr>
              <w:pStyle w:val="886"/>
              <w:ind w:firstLine="0"/>
              <w:rPr>
                <w:rFonts w:hint="eastAsia" w:ascii="宋体" w:hAnsi="宋体" w:eastAsia="宋体"/>
                <w:sz w:val="21"/>
                <w:szCs w:val="21"/>
              </w:rPr>
            </w:pPr>
            <w:r>
              <w:rPr>
                <w:rFonts w:hint="eastAsia" w:ascii="宋体" w:hAnsi="宋体" w:eastAsia="宋体"/>
                <w:sz w:val="21"/>
                <w:szCs w:val="21"/>
              </w:rPr>
              <w:t xml:space="preserve">4.支持多人多岗，单人多岗的协作模式。</w:t>
            </w:r>
            <w:r/>
          </w:p>
          <w:p>
            <w:pPr>
              <w:pStyle w:val="886"/>
              <w:ind w:firstLine="0"/>
              <w:rPr>
                <w:rFonts w:hint="eastAsia" w:ascii="宋体" w:hAnsi="宋体" w:eastAsia="宋体"/>
                <w:sz w:val="21"/>
                <w:szCs w:val="21"/>
              </w:rPr>
            </w:pPr>
            <w:r>
              <w:rPr>
                <w:rFonts w:hint="eastAsia" w:ascii="宋体" w:hAnsi="宋体" w:eastAsia="宋体"/>
                <w:sz w:val="21"/>
                <w:szCs w:val="21"/>
              </w:rPr>
              <w:t xml:space="preserve">5.实时AI智能助手和随身智能助教。</w:t>
            </w:r>
            <w:r/>
          </w:p>
          <w:p>
            <w:pPr>
              <w:pStyle w:val="886"/>
              <w:ind w:firstLine="0"/>
              <w:rPr>
                <w:rFonts w:hint="eastAsia" w:ascii="宋体" w:hAnsi="宋体" w:eastAsia="宋体"/>
                <w:sz w:val="21"/>
                <w:szCs w:val="21"/>
              </w:rPr>
            </w:pPr>
            <w:r>
              <w:rPr>
                <w:rFonts w:hint="eastAsia" w:ascii="宋体" w:hAnsi="宋体" w:eastAsia="宋体"/>
                <w:sz w:val="21"/>
                <w:szCs w:val="21"/>
              </w:rPr>
              <w:t xml:space="preserve">6.企业经营过程中可进行思政教育，支持与系统设定的10家国际一流企业竞争，并在每个经营年的年末进行权益对比，激发经营动力；经营过程的违约行为会降低企业的信息度，通过评价企业的信誉度来提升学生的诚信经营思维，通过开展乡村振兴活动来让企业进行资金的捐助，并给捐款企业进行公示，以此提升企业的社会责任；支持实时评价企业在国际市场的销售占比，以此来评价企业的国际视野。</w:t>
            </w:r>
            <w:r/>
          </w:p>
        </w:tc>
      </w:tr>
      <w:tr>
        <w:trPr>
          <w:trHeight w:val="20"/>
        </w:trPr>
        <w:tc>
          <w:tcPr>
            <w:tcBorders>
              <w:top w:val="none" w:color="000000" w:sz="4" w:space="0"/>
              <w:left w:val="single" w:color="000000" w:sz="4" w:space="0"/>
              <w:bottom w:val="none" w:color="000000" w:sz="4" w:space="0"/>
              <w:right w:val="single" w:color="000000" w:sz="4" w:space="0"/>
            </w:tcBorders>
            <w:tcW w:w="459" w:type="dxa"/>
            <w:vAlign w:val="center"/>
            <w:vMerge w:val="continue"/>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4" w:space="0"/>
            </w:tcBorders>
            <w:tcW w:w="887"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4" w:space="0"/>
            </w:tcBorders>
            <w:tcW w:w="7063" w:type="dxa"/>
            <w:vAlign w:val="center"/>
            <w:textDirection w:val="lrTb"/>
            <w:noWrap w:val="false"/>
          </w:tcPr>
          <w:p>
            <w:pPr>
              <w:rPr>
                <w:rFonts w:hint="eastAsia" w:ascii="宋体" w:hAnsi="宋体"/>
                <w:sz w:val="21"/>
                <w:szCs w:val="21"/>
              </w:rPr>
            </w:pPr>
            <w:r>
              <w:rPr>
                <w:rFonts w:hint="eastAsia" w:ascii="宋体" w:hAnsi="宋体"/>
                <w:b/>
                <w:bCs/>
                <w:sz w:val="21"/>
                <w:szCs w:val="21"/>
              </w:rPr>
              <w:t xml:space="preserve">管理员功能：</w:t>
            </w:r>
            <w:r/>
          </w:p>
          <w:p>
            <w:pPr>
              <w:pStyle w:val="890"/>
              <w:numPr>
                <w:ilvl w:val="0"/>
                <w:numId w:val="0"/>
              </w:numPr>
              <w:ind w:left="-36"/>
              <w:spacing w:line="240" w:lineRule="auto"/>
              <w:rPr>
                <w:sz w:val="21"/>
                <w:szCs w:val="21"/>
              </w:rPr>
            </w:pPr>
            <w:r>
              <w:rPr>
                <w:sz w:val="21"/>
                <w:szCs w:val="21"/>
              </w:rPr>
              <w:t xml:space="preserve">1.账户设置：管理员自主维护自身信息，包括昵称、头像、密码。</w:t>
            </w:r>
            <w:r/>
          </w:p>
          <w:p>
            <w:pPr>
              <w:pStyle w:val="890"/>
              <w:numPr>
                <w:ilvl w:val="0"/>
                <w:numId w:val="0"/>
              </w:numPr>
              <w:ind w:left="-36"/>
              <w:spacing w:line="240" w:lineRule="auto"/>
              <w:rPr>
                <w:sz w:val="21"/>
                <w:szCs w:val="21"/>
              </w:rPr>
            </w:pPr>
            <w:r>
              <w:rPr>
                <w:sz w:val="21"/>
                <w:szCs w:val="21"/>
              </w:rPr>
              <w:t xml:space="preserve">2.教师管理：管理员可新增教师，并进行基本信息的维护，包括姓名、密码、使用时间期限等。同时也支持删除过期教师信息。</w:t>
            </w:r>
            <w:r/>
          </w:p>
          <w:p>
            <w:pPr>
              <w:pStyle w:val="890"/>
              <w:numPr>
                <w:ilvl w:val="0"/>
                <w:numId w:val="0"/>
              </w:numPr>
              <w:spacing w:line="240" w:lineRule="auto"/>
              <w:rPr>
                <w:sz w:val="21"/>
                <w:szCs w:val="21"/>
              </w:rPr>
            </w:pPr>
            <w:r>
              <w:rPr>
                <w:sz w:val="21"/>
                <w:szCs w:val="21"/>
              </w:rPr>
              <w:t xml:space="preserve">3.标准案例管理：管理员可查看当前学习平台下标准案例的使用状态，并可点击链接快速激活。</w:t>
            </w:r>
            <w:r/>
          </w:p>
          <w:p>
            <w:pPr>
              <w:pStyle w:val="890"/>
              <w:numPr>
                <w:ilvl w:val="0"/>
                <w:numId w:val="0"/>
              </w:numPr>
              <w:spacing w:line="240" w:lineRule="auto"/>
              <w:rPr>
                <w:sz w:val="21"/>
                <w:szCs w:val="21"/>
              </w:rPr>
            </w:pPr>
            <w:r>
              <w:rPr>
                <w:sz w:val="21"/>
                <w:szCs w:val="21"/>
              </w:rPr>
              <w:t xml:space="preserve">4.规则导入：管理员可以导入教师所使用的标准规则，导入后所有教师均可使用。</w:t>
            </w:r>
            <w:r/>
          </w:p>
          <w:p>
            <w:pPr>
              <w:pStyle w:val="890"/>
              <w:numPr>
                <w:ilvl w:val="0"/>
                <w:numId w:val="0"/>
              </w:numPr>
              <w:spacing w:line="240" w:lineRule="auto"/>
              <w:rPr>
                <w:color w:val="000000"/>
                <w:sz w:val="21"/>
                <w:szCs w:val="21"/>
              </w:rPr>
            </w:pPr>
            <w:r>
              <w:rPr>
                <w:sz w:val="21"/>
                <w:szCs w:val="21"/>
              </w:rPr>
              <w:t xml:space="preserve">▲5.案例库管理：可支持导入包括服装加工案例、工程机械案例、计算机案例、酒类加工案例、零部件加工案例、农机制造案例、农产品案例、生物医药加工案例、食品加工案例、装备制造案例在内的10个拓展案例（学校可任选两套），并可点击链接快速激活。</w:t>
            </w:r>
            <w:r>
              <w:rPr>
                <w:b/>
                <w:bCs/>
                <w:sz w:val="21"/>
                <w:szCs w:val="21"/>
              </w:rPr>
              <w:t xml:space="preserve">（提供功能界面截图证明并加盖投标人公章）</w:t>
            </w:r>
            <w:r/>
          </w:p>
        </w:tc>
      </w:tr>
      <w:tr>
        <w:trPr>
          <w:trHeight w:val="20"/>
        </w:trPr>
        <w:tc>
          <w:tcPr>
            <w:tcBorders>
              <w:top w:val="none" w:color="000000" w:sz="4" w:space="0"/>
              <w:left w:val="single" w:color="000000" w:sz="4" w:space="0"/>
              <w:bottom w:val="none" w:color="000000" w:sz="4" w:space="0"/>
              <w:right w:val="single" w:color="000000" w:sz="4" w:space="0"/>
            </w:tcBorders>
            <w:tcW w:w="459" w:type="dxa"/>
            <w:vAlign w:val="center"/>
            <w:vMerge w:val="continue"/>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single" w:color="000000" w:sz="4" w:space="0"/>
            </w:tcBorders>
            <w:tcW w:w="887"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7063" w:type="dxa"/>
            <w:vAlign w:val="center"/>
            <w:textDirection w:val="lrTb"/>
            <w:noWrap w:val="false"/>
          </w:tcPr>
          <w:p>
            <w:pPr>
              <w:widowControl/>
              <w:rPr>
                <w:rFonts w:ascii="宋体" w:hAnsi="宋体" w:cs="宋体"/>
                <w:b/>
                <w:bCs/>
                <w:color w:val="000000"/>
                <w:sz w:val="21"/>
                <w:szCs w:val="21"/>
              </w:rPr>
            </w:pPr>
            <w:r>
              <w:rPr>
                <w:rFonts w:hint="eastAsia" w:ascii="宋体" w:hAnsi="宋体" w:cs="宋体"/>
                <w:b/>
                <w:bCs/>
                <w:color w:val="000000"/>
                <w:sz w:val="21"/>
                <w:szCs w:val="21"/>
              </w:rPr>
              <w:t xml:space="preserve">教师教学功能：</w:t>
            </w:r>
            <w:r/>
          </w:p>
          <w:p>
            <w:pPr>
              <w:numPr>
                <w:ilvl w:val="0"/>
                <w:numId w:val="15"/>
              </w:numPr>
              <w:contextualSpacing/>
              <w:ind w:left="442" w:hanging="442"/>
              <w:rPr>
                <w:rFonts w:hint="eastAsia" w:ascii="宋体" w:hAnsi="宋体" w:cs="宋体"/>
                <w:b/>
                <w:bCs/>
                <w:sz w:val="21"/>
                <w:szCs w:val="21"/>
              </w:rPr>
              <w:outlineLvl w:val="2"/>
            </w:pPr>
            <w:r/>
            <w:bookmarkStart w:id="14" w:name="_Toc85017783"/>
            <w:r/>
            <w:bookmarkStart w:id="15" w:name="_Toc28261754"/>
            <w:r>
              <w:rPr>
                <w:rFonts w:hint="eastAsia" w:ascii="宋体" w:hAnsi="宋体" w:cs="宋体"/>
                <w:b/>
                <w:bCs/>
                <w:sz w:val="21"/>
                <w:szCs w:val="21"/>
              </w:rPr>
              <w:t xml:space="preserve">案例开发</w:t>
            </w:r>
            <w:bookmarkEnd w:id="14"/>
            <w:r/>
            <w:bookmarkStart w:id="16" w:name="_Toc80886156"/>
            <w:r/>
            <w:bookmarkEnd w:id="16"/>
            <w:r/>
          </w:p>
          <w:p>
            <w:pPr>
              <w:contextualSpacing/>
              <w:ind w:right="210"/>
              <w:rPr>
                <w:rFonts w:ascii="宋体" w:hAnsi="宋体" w:cs="宋体"/>
                <w:sz w:val="21"/>
                <w:szCs w:val="21"/>
              </w:rPr>
              <w:outlineLvl w:val="2"/>
            </w:pPr>
            <w:r>
              <w:rPr>
                <w:rFonts w:hint="eastAsia" w:ascii="宋体" w:hAnsi="宋体" w:cs="宋体"/>
                <w:sz w:val="21"/>
                <w:szCs w:val="21"/>
                <w:lang w:val="zh-CN"/>
              </w:rPr>
              <w:t xml:space="preserve">1.模型</w:t>
            </w:r>
            <w:r>
              <w:rPr>
                <w:rFonts w:hint="eastAsia" w:ascii="宋体" w:hAnsi="宋体" w:cs="宋体"/>
                <w:sz w:val="21"/>
                <w:szCs w:val="21"/>
              </w:rPr>
              <w:t xml:space="preserve">及规则</w:t>
            </w:r>
            <w:r>
              <w:rPr>
                <w:rFonts w:hint="eastAsia" w:ascii="宋体" w:hAnsi="宋体" w:cs="宋体"/>
                <w:sz w:val="21"/>
                <w:szCs w:val="21"/>
                <w:lang w:val="zh-CN"/>
              </w:rPr>
              <w:t xml:space="preserve">设定：</w:t>
            </w:r>
            <w:r/>
          </w:p>
          <w:p>
            <w:pPr>
              <w:contextualSpacing/>
              <w:ind w:right="210"/>
              <w:rPr>
                <w:rFonts w:hint="eastAsia" w:ascii="微软雅黑" w:hAnsi="微软雅黑" w:eastAsia="微软雅黑" w:cs="宋体"/>
                <w:b/>
                <w:bCs/>
                <w:sz w:val="21"/>
                <w:szCs w:val="21"/>
              </w:rPr>
              <w:outlineLvl w:val="2"/>
            </w:pPr>
            <w:r>
              <w:rPr>
                <w:rFonts w:hint="eastAsia" w:ascii="宋体" w:hAnsi="宋体" w:cs="宋体"/>
                <w:sz w:val="21"/>
                <w:szCs w:val="21"/>
                <w:lang w:val="zh-CN"/>
              </w:rPr>
              <w:t xml:space="preserve">（</w:t>
            </w:r>
            <w:r>
              <w:rPr>
                <w:rFonts w:hint="eastAsia" w:ascii="宋体" w:hAnsi="宋体" w:cs="宋体"/>
                <w:sz w:val="21"/>
                <w:szCs w:val="21"/>
              </w:rPr>
              <w:t xml:space="preserve">1</w:t>
            </w:r>
            <w:r>
              <w:rPr>
                <w:rFonts w:hint="eastAsia" w:ascii="宋体" w:hAnsi="宋体" w:cs="宋体"/>
                <w:sz w:val="21"/>
                <w:szCs w:val="21"/>
                <w:lang w:val="zh-CN"/>
              </w:rPr>
              <w:t xml:space="preserve">）</w:t>
            </w:r>
            <w:r>
              <w:rPr>
                <w:rFonts w:hint="eastAsia" w:ascii="宋体" w:hAnsi="宋体" w:cs="宋体"/>
                <w:sz w:val="21"/>
                <w:szCs w:val="21"/>
              </w:rPr>
              <w:t xml:space="preserve">支持18个经营模块的自由组合，通过简单勾选，可创造全新的沙盘案例，创建案例后，即可立即使用，并且使用的沙盘模型与勾选的模型一致；（2）支持数智经营、体验教学、标准赛事三种快捷设置模版</w:t>
            </w:r>
            <w:r>
              <w:rPr>
                <w:rFonts w:hint="eastAsia" w:ascii="宋体" w:hAnsi="宋体" w:cs="宋体"/>
                <w:sz w:val="21"/>
                <w:szCs w:val="21"/>
                <w:lang w:val="zh-CN"/>
              </w:rPr>
              <w:t xml:space="preserve">。</w:t>
            </w:r>
            <w:r>
              <w:rPr>
                <w:rFonts w:hint="eastAsia" w:ascii="宋体" w:hAnsi="宋体" w:cs="宋体"/>
                <w:sz w:val="21"/>
                <w:szCs w:val="21"/>
              </w:rPr>
              <w:t xml:space="preserve">支持对沙盘模型、经营时间、经营规则进行更改，提供包括产品名称、材料bom、资质参数、订单数量、订单价值、初始资产负债表等超过100个参数的自定义能力，（3）支持实训过程中随时更改参数，更改后立刻在沙盘模拟中呈现；支持一键导出规则文件并形成图片文件，图片文件完整展示规则表中的各项参数</w:t>
            </w:r>
            <w:r>
              <w:rPr>
                <w:rFonts w:hint="eastAsia" w:ascii="宋体" w:hAnsi="宋体" w:cs="宋体"/>
                <w:sz w:val="21"/>
                <w:szCs w:val="21"/>
                <w:lang w:val="zh-CN"/>
              </w:rPr>
              <w:t xml:space="preserve">。</w:t>
            </w:r>
            <w:r/>
          </w:p>
          <w:p>
            <w:pPr>
              <w:numPr>
                <w:ilvl w:val="0"/>
                <w:numId w:val="16"/>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时间轴设定：支持调整实践的经营时长，调整范围2-6个会计年。</w:t>
            </w:r>
            <w:r/>
          </w:p>
          <w:p>
            <w:pPr>
              <w:numPr>
                <w:ilvl w:val="0"/>
                <w:numId w:val="16"/>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导入规则：支持教师自行导入规则，并支持编辑和使用，导入后仅教师自己见。</w:t>
            </w:r>
            <w:r/>
          </w:p>
          <w:p>
            <w:pPr>
              <w:numPr>
                <w:ilvl w:val="0"/>
                <w:numId w:val="16"/>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规则编辑：正在使用的规则可随时进行编辑，并且不影响教学和比赛。</w:t>
            </w:r>
            <w:r/>
          </w:p>
          <w:p>
            <w:pPr>
              <w:numPr>
                <w:ilvl w:val="0"/>
                <w:numId w:val="15"/>
              </w:numPr>
              <w:contextualSpacing/>
              <w:ind w:left="442" w:hanging="442"/>
              <w:rPr>
                <w:rFonts w:hint="eastAsia" w:ascii="宋体" w:hAnsi="宋体" w:cs="宋体"/>
                <w:b/>
                <w:bCs/>
                <w:sz w:val="21"/>
                <w:szCs w:val="21"/>
              </w:rPr>
              <w:outlineLvl w:val="2"/>
            </w:pPr>
            <w:r/>
            <w:bookmarkStart w:id="17" w:name="_Toc80886163"/>
            <w:r/>
            <w:bookmarkStart w:id="18" w:name="_Toc85017784"/>
            <w:r>
              <w:rPr>
                <w:rFonts w:ascii="宋体" w:hAnsi="宋体" w:cs="宋体"/>
                <w:b/>
                <w:bCs/>
                <w:sz w:val="21"/>
                <w:szCs w:val="21"/>
              </w:rPr>
              <w:t xml:space="preserve">教学</w:t>
            </w:r>
            <w:r>
              <w:rPr>
                <w:rFonts w:hint="eastAsia" w:ascii="宋体" w:hAnsi="宋体" w:cs="宋体"/>
                <w:b/>
                <w:bCs/>
                <w:sz w:val="21"/>
                <w:szCs w:val="21"/>
              </w:rPr>
              <w:t xml:space="preserve">班</w:t>
            </w:r>
            <w:r>
              <w:rPr>
                <w:rFonts w:ascii="宋体" w:hAnsi="宋体" w:cs="宋体"/>
                <w:b/>
                <w:bCs/>
                <w:sz w:val="21"/>
                <w:szCs w:val="21"/>
              </w:rPr>
              <w:t xml:space="preserve">管理</w:t>
            </w:r>
            <w:bookmarkEnd w:id="17"/>
            <w:r/>
            <w:bookmarkEnd w:id="18"/>
            <w:r/>
            <w:bookmarkStart w:id="19" w:name="_Toc80886164"/>
            <w:r/>
            <w:bookmarkEnd w:id="19"/>
            <w:r/>
          </w:p>
          <w:p>
            <w:pPr>
              <w:numPr>
                <w:ilvl w:val="0"/>
                <w:numId w:val="17"/>
              </w:numPr>
              <w:contextualSpacing/>
              <w:ind w:right="210" w:hanging="39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课程学习：支持在线播放学习课件。</w:t>
            </w:r>
            <w:r/>
          </w:p>
          <w:p>
            <w:pPr>
              <w:numPr>
                <w:ilvl w:val="0"/>
                <w:numId w:val="17"/>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考评设置：支持教师设置考评规则，多维度地考查学生的学习成果</w:t>
            </w:r>
            <w:bookmarkStart w:id="20" w:name="_Toc80886165"/>
            <w:r>
              <w:rPr>
                <w:rFonts w:hint="eastAsia" w:ascii="宋体" w:hAnsi="宋体" w:cs="宋体"/>
                <w:color w:val="000000"/>
                <w:sz w:val="21"/>
                <w:szCs w:val="21"/>
                <w:lang w:val="zh-CN"/>
              </w:rPr>
              <w:t xml:space="preserve">。</w:t>
            </w:r>
            <w:bookmarkEnd w:id="20"/>
            <w:r/>
          </w:p>
          <w:p>
            <w:pPr>
              <w:numPr>
                <w:ilvl w:val="0"/>
                <w:numId w:val="17"/>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教案管理：支持教师自行上传教案，支持在线播放。</w:t>
            </w:r>
            <w:bookmarkStart w:id="21" w:name="_Toc80886166"/>
            <w:r/>
            <w:bookmarkEnd w:id="21"/>
            <w:r/>
          </w:p>
          <w:p>
            <w:pPr>
              <w:numPr>
                <w:ilvl w:val="0"/>
                <w:numId w:val="17"/>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课堂总结：支持浏览学生上传的总结，以及对上传的课堂总结进行在线打分。</w:t>
            </w:r>
            <w:r/>
          </w:p>
          <w:p>
            <w:pPr>
              <w:numPr>
                <w:ilvl w:val="0"/>
                <w:numId w:val="17"/>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教学评分：支持教师通过主观评价对学生上课情况进行打分。</w:t>
            </w:r>
            <w:r/>
          </w:p>
          <w:p>
            <w:pPr>
              <w:numPr>
                <w:ilvl w:val="0"/>
                <w:numId w:val="17"/>
              </w:numPr>
              <w:contextualSpacing/>
              <w:ind w:left="0" w:right="210" w:hanging="36"/>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学情分析：对班级的每个学生综合分析，展示其各方面的成绩以及学习记录。</w:t>
            </w:r>
            <w:r/>
          </w:p>
          <w:p>
            <w:pPr>
              <w:numPr>
                <w:ilvl w:val="0"/>
                <w:numId w:val="14"/>
              </w:numPr>
              <w:contextualSpacing/>
              <w:ind w:left="442" w:hanging="442"/>
              <w:rPr>
                <w:rFonts w:hint="eastAsia" w:ascii="宋体" w:hAnsi="宋体" w:cs="宋体"/>
                <w:b/>
                <w:bCs/>
                <w:sz w:val="21"/>
                <w:szCs w:val="21"/>
              </w:rPr>
              <w:outlineLvl w:val="2"/>
            </w:pPr>
            <w:r/>
            <w:bookmarkStart w:id="22" w:name="_Toc85017785"/>
            <w:r>
              <w:rPr>
                <w:rFonts w:hint="eastAsia" w:ascii="宋体" w:hAnsi="宋体" w:cs="宋体"/>
                <w:b/>
                <w:bCs/>
                <w:sz w:val="21"/>
                <w:szCs w:val="21"/>
              </w:rPr>
              <w:t xml:space="preserve">实训管理</w:t>
            </w:r>
            <w:bookmarkEnd w:id="22"/>
            <w:r/>
            <w:r/>
          </w:p>
          <w:p>
            <w:pPr>
              <w:contextualSpacing/>
              <w:ind w:right="210"/>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1.实验介绍：展示本次实训的课程介绍，包含实验目标、实验原理、实验步骤。</w:t>
            </w:r>
            <w:r/>
          </w:p>
          <w:p>
            <w:pPr>
              <w:contextualSpacing/>
              <w:ind w:right="210"/>
              <w:rPr>
                <w:rFonts w:hint="eastAsia" w:ascii="宋体" w:hAnsi="宋体" w:cs="宋体"/>
                <w:color w:val="000000"/>
                <w:sz w:val="21"/>
                <w:szCs w:val="21"/>
              </w:rPr>
              <w:outlineLvl w:val="2"/>
            </w:pPr>
            <w:r>
              <w:rPr>
                <w:rFonts w:hint="eastAsia" w:ascii="宋体" w:hAnsi="宋体"/>
                <w:sz w:val="21"/>
                <w:szCs w:val="21"/>
              </w:rPr>
              <w:t xml:space="preserve">▲2.</w:t>
            </w:r>
            <w:r>
              <w:rPr>
                <w:rFonts w:hint="eastAsia" w:ascii="宋体" w:hAnsi="宋体" w:cs="宋体"/>
                <w:color w:val="000000"/>
                <w:sz w:val="21"/>
                <w:szCs w:val="21"/>
                <w:lang w:val="zh-CN"/>
              </w:rPr>
              <w:t xml:space="preserve">AI智能助手：设置AI智能学习助手，可通过问答式交互方式辅助学生经营，支持市场分析、人力资源分析、设备分析、融资复盘、财务复盘、营销复盘等6大类分析场景。</w:t>
            </w:r>
            <w:r>
              <w:rPr>
                <w:rFonts w:hint="eastAsia" w:ascii="宋体" w:hAnsi="宋体"/>
                <w:b/>
                <w:bCs/>
                <w:sz w:val="21"/>
                <w:szCs w:val="21"/>
              </w:rPr>
              <w:t xml:space="preserve">（提供功能界面截图证明并加盖投标人公章）</w:t>
            </w:r>
            <w:r/>
          </w:p>
          <w:p>
            <w:pPr>
              <w:contextualSpacing/>
              <w:ind w:right="210"/>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3.实训信息显示：展示实训信息，包括实训I</w:t>
            </w:r>
            <w:r>
              <w:rPr>
                <w:rFonts w:ascii="宋体" w:hAnsi="宋体" w:cs="宋体"/>
                <w:color w:val="000000"/>
                <w:sz w:val="21"/>
                <w:szCs w:val="21"/>
                <w:lang w:val="zh-CN"/>
              </w:rPr>
              <w:t xml:space="preserve">D</w:t>
            </w:r>
            <w:r>
              <w:rPr>
                <w:rFonts w:hint="eastAsia" w:ascii="宋体" w:hAnsi="宋体" w:cs="宋体"/>
                <w:color w:val="000000"/>
                <w:sz w:val="21"/>
                <w:szCs w:val="21"/>
                <w:lang w:val="zh-CN"/>
              </w:rPr>
              <w:t xml:space="preserve">，规则名称，案例名称。</w:t>
            </w:r>
            <w:r/>
          </w:p>
          <w:p>
            <w:pPr>
              <w:contextualSpacing/>
              <w:ind w:right="210"/>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4.时间轴展示：展示实训的时间轴，包括节点数量，节点时间，节点操作按钮。</w:t>
            </w:r>
            <w:r/>
          </w:p>
          <w:p>
            <w:pPr>
              <w:contextualSpacing/>
              <w:ind w:right="210"/>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5.教师工作台：提供15种控制工具，包括选单控制、公共信息、系统公告、一键导出、补单工具、材料订单处理等。教师可以通过控制台，掌控实训过程。</w:t>
            </w:r>
            <w:r/>
          </w:p>
          <w:p>
            <w:pPr>
              <w:contextualSpacing/>
              <w:ind w:right="210"/>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6.实训工作台：支持教师导入学生信息。</w:t>
            </w:r>
            <w:r/>
          </w:p>
          <w:p>
            <w:pPr>
              <w:contextualSpacing/>
              <w:ind w:right="210"/>
              <w:rPr>
                <w:rFonts w:hint="eastAsia" w:ascii="宋体" w:hAnsi="宋体" w:cs="宋体"/>
                <w:color w:val="000000"/>
                <w:sz w:val="21"/>
                <w:szCs w:val="21"/>
              </w:rPr>
              <w:outlineLvl w:val="2"/>
            </w:pPr>
            <w:r>
              <w:rPr>
                <w:rFonts w:hint="eastAsia" w:ascii="宋体" w:hAnsi="宋体" w:cs="宋体"/>
                <w:color w:val="000000"/>
                <w:sz w:val="21"/>
                <w:szCs w:val="21"/>
                <w:lang w:val="zh-CN"/>
              </w:rPr>
              <w:t xml:space="preserve">7.成绩查看：可实时查看学生成绩情况，并进行导出。</w:t>
            </w:r>
            <w:bookmarkEnd w:id="15"/>
            <w:r/>
            <w:r/>
          </w:p>
          <w:p>
            <w:pPr>
              <w:contextualSpacing/>
              <w:ind w:right="210"/>
              <w:rPr>
                <w:rFonts w:hint="eastAsia" w:ascii="宋体" w:hAnsi="宋体"/>
                <w:sz w:val="21"/>
                <w:szCs w:val="21"/>
              </w:rPr>
              <w:outlineLvl w:val="2"/>
            </w:pPr>
            <w:r>
              <w:rPr>
                <w:rFonts w:hint="eastAsia" w:ascii="宋体" w:hAnsi="宋体"/>
                <w:sz w:val="21"/>
                <w:szCs w:val="21"/>
              </w:rPr>
              <w:t xml:space="preserve">▲8.</w:t>
            </w:r>
            <w:r>
              <w:rPr>
                <w:rFonts w:hint="eastAsia" w:ascii="宋体" w:hAnsi="宋体" w:cs="宋体"/>
                <w:color w:val="000000"/>
                <w:sz w:val="21"/>
                <w:szCs w:val="21"/>
                <w:lang w:val="zh-CN"/>
              </w:rPr>
              <w:t xml:space="preserve">单组还原：支持教师针对某一组还原到上季度或者年初状态。</w:t>
            </w:r>
            <w:r>
              <w:rPr>
                <w:rFonts w:hint="eastAsia" w:ascii="宋体" w:hAnsi="宋体"/>
                <w:b/>
                <w:bCs/>
                <w:sz w:val="21"/>
                <w:szCs w:val="21"/>
              </w:rPr>
              <w:t xml:space="preserve">（提供功能界面截图证明并加盖投标人公章）</w:t>
            </w:r>
            <w:r/>
          </w:p>
        </w:tc>
      </w:tr>
      <w:tr>
        <w:trPr>
          <w:trHeight w:val="20"/>
        </w:trPr>
        <w:tc>
          <w:tcPr>
            <w:tcBorders>
              <w:top w:val="none" w:color="000000" w:sz="4" w:space="0"/>
              <w:left w:val="single" w:color="000000" w:sz="4" w:space="0"/>
              <w:bottom w:val="single" w:color="000000" w:sz="4" w:space="0"/>
              <w:right w:val="single" w:color="000000" w:sz="4" w:space="0"/>
            </w:tcBorders>
            <w:tcW w:w="459" w:type="dxa"/>
            <w:vAlign w:val="center"/>
            <w:vMerge w:val="continue"/>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87" w:type="dxa"/>
            <w:vAlign w:val="center"/>
            <w:vMerge w:val="continue"/>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7063" w:type="dxa"/>
            <w:vAlign w:val="center"/>
            <w:textDirection w:val="lrTb"/>
            <w:noWrap w:val="false"/>
          </w:tcPr>
          <w:p>
            <w:pPr>
              <w:ind w:left="-36"/>
              <w:widowControl/>
              <w:rPr>
                <w:rFonts w:ascii="宋体" w:hAnsi="宋体"/>
                <w:b/>
                <w:bCs/>
                <w:sz w:val="21"/>
                <w:szCs w:val="21"/>
              </w:rPr>
            </w:pPr>
            <w:r>
              <w:rPr>
                <w:rFonts w:hint="eastAsia" w:ascii="宋体" w:hAnsi="宋体"/>
                <w:b/>
                <w:bCs/>
                <w:sz w:val="21"/>
                <w:szCs w:val="21"/>
              </w:rPr>
              <w:t xml:space="preserve">学生学习功能：</w:t>
            </w:r>
            <w:r/>
          </w:p>
          <w:p>
            <w:pPr>
              <w:pStyle w:val="849"/>
              <w:numPr>
                <w:ilvl w:val="0"/>
                <w:numId w:val="18"/>
              </w:numPr>
              <w:ind w:left="-36" w:firstLine="0"/>
              <w:spacing w:line="240" w:lineRule="auto"/>
              <w:rPr>
                <w:rFonts w:hint="eastAsia" w:ascii="宋体" w:hAnsi="宋体" w:eastAsia="宋体"/>
                <w:b/>
                <w:bCs/>
                <w:sz w:val="21"/>
                <w:szCs w:val="21"/>
              </w:rPr>
            </w:pPr>
            <w:r>
              <w:rPr>
                <w:rFonts w:hint="eastAsia" w:ascii="宋体" w:hAnsi="宋体" w:eastAsia="宋体"/>
                <w:b/>
                <w:bCs/>
                <w:sz w:val="21"/>
                <w:szCs w:val="21"/>
              </w:rPr>
              <w:t xml:space="preserve">账号管理</w:t>
            </w:r>
            <w:r/>
          </w:p>
          <w:p>
            <w:pPr>
              <w:pStyle w:val="849"/>
              <w:numPr>
                <w:ilvl w:val="0"/>
                <w:numId w:val="19"/>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登录平台：支持通过专属地址登录平台。</w:t>
            </w:r>
            <w:r/>
          </w:p>
          <w:p>
            <w:pPr>
              <w:pStyle w:val="849"/>
              <w:numPr>
                <w:ilvl w:val="0"/>
                <w:numId w:val="19"/>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账户设置：支持用户进行个人资料设置。支持修改登录密码、昵称变更、头像变更。</w:t>
            </w:r>
            <w:r/>
          </w:p>
          <w:p>
            <w:pPr>
              <w:pStyle w:val="849"/>
              <w:numPr>
                <w:ilvl w:val="0"/>
                <w:numId w:val="18"/>
              </w:numPr>
              <w:ind w:left="-36" w:firstLine="0"/>
              <w:spacing w:line="240" w:lineRule="auto"/>
              <w:rPr>
                <w:rFonts w:hint="eastAsia" w:ascii="宋体" w:hAnsi="宋体" w:eastAsia="宋体"/>
                <w:b/>
                <w:bCs/>
                <w:sz w:val="21"/>
                <w:szCs w:val="21"/>
              </w:rPr>
            </w:pPr>
            <w:r>
              <w:rPr>
                <w:rFonts w:hint="eastAsia" w:ascii="宋体" w:hAnsi="宋体" w:eastAsia="宋体"/>
                <w:b/>
                <w:bCs/>
                <w:sz w:val="21"/>
                <w:szCs w:val="21"/>
              </w:rPr>
              <w:t xml:space="preserve">沙盘教学班</w:t>
            </w:r>
            <w:r/>
          </w:p>
          <w:p>
            <w:pPr>
              <w:pStyle w:val="849"/>
              <w:numPr>
                <w:ilvl w:val="0"/>
                <w:numId w:val="20"/>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课程学习：支持在线选择和学习课程。</w:t>
            </w:r>
            <w:r/>
          </w:p>
          <w:p>
            <w:pPr>
              <w:pStyle w:val="849"/>
              <w:numPr>
                <w:ilvl w:val="0"/>
                <w:numId w:val="20"/>
              </w:numPr>
              <w:ind w:left="-36" w:firstLine="0"/>
              <w:spacing w:line="240" w:lineRule="auto"/>
              <w:rPr>
                <w:rFonts w:hint="eastAsia" w:ascii="宋体" w:hAnsi="宋体" w:eastAsia="宋体"/>
                <w:sz w:val="21"/>
                <w:szCs w:val="21"/>
              </w:rPr>
            </w:pPr>
            <w:r>
              <w:rPr>
                <w:rFonts w:hint="eastAsia" w:ascii="宋体" w:hAnsi="宋体" w:eastAsia="宋体"/>
                <w:sz w:val="21"/>
                <w:szCs w:val="21"/>
              </w:rPr>
              <w:t xml:space="preserve">沙盘实训</w:t>
            </w:r>
            <w:r/>
          </w:p>
          <w:p>
            <w:pPr>
              <w:pStyle w:val="849"/>
              <w:numPr>
                <w:ilvl w:val="1"/>
                <w:numId w:val="18"/>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实训列表：支持按照时间、名称筛选实训、支持选择实训加入。</w:t>
            </w:r>
            <w:r/>
          </w:p>
          <w:p>
            <w:pPr>
              <w:pStyle w:val="849"/>
              <w:numPr>
                <w:ilvl w:val="1"/>
                <w:numId w:val="18"/>
              </w:numPr>
              <w:ind w:left="-36" w:firstLine="0"/>
              <w:spacing w:line="240" w:lineRule="auto"/>
              <w:rPr>
                <w:rFonts w:hint="eastAsia" w:ascii="宋体" w:hAnsi="宋体" w:eastAsia="宋体"/>
                <w:sz w:val="21"/>
                <w:szCs w:val="21"/>
              </w:rPr>
            </w:pPr>
            <w:r>
              <w:rPr>
                <w:rFonts w:hint="eastAsia" w:ascii="宋体" w:hAnsi="宋体" w:eastAsia="宋体"/>
                <w:sz w:val="21"/>
                <w:szCs w:val="21"/>
              </w:rPr>
              <w:t xml:space="preserve">实训控制台</w:t>
            </w:r>
            <w:r/>
          </w:p>
          <w:p>
            <w:pPr>
              <w:pStyle w:val="849"/>
              <w:numPr>
                <w:ilvl w:val="0"/>
                <w:numId w:val="21"/>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展示实训信息，包括案例名、规则名。</w:t>
            </w:r>
            <w:r/>
          </w:p>
          <w:p>
            <w:pPr>
              <w:pStyle w:val="849"/>
              <w:numPr>
                <w:ilvl w:val="0"/>
                <w:numId w:val="21"/>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展示规则明细，支持点击查看。</w:t>
            </w:r>
            <w:r/>
          </w:p>
          <w:p>
            <w:pPr>
              <w:pStyle w:val="849"/>
              <w:numPr>
                <w:ilvl w:val="0"/>
                <w:numId w:val="21"/>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展示经营时间信息，包括季度数、每季度剩余时间。</w:t>
            </w:r>
            <w:r/>
          </w:p>
          <w:p>
            <w:pPr>
              <w:pStyle w:val="849"/>
              <w:numPr>
                <w:ilvl w:val="1"/>
                <w:numId w:val="18"/>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考评设置：支持学生查看教师对该教学班的考评设置，明细权重。</w:t>
            </w:r>
            <w:r/>
          </w:p>
          <w:p>
            <w:pPr>
              <w:pStyle w:val="849"/>
              <w:numPr>
                <w:ilvl w:val="1"/>
                <w:numId w:val="18"/>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课堂总结：支持学生根据实训结果自行上传课堂总结，上传后可预览。</w:t>
            </w:r>
            <w:r/>
          </w:p>
          <w:p>
            <w:pPr>
              <w:pStyle w:val="849"/>
              <w:numPr>
                <w:ilvl w:val="1"/>
                <w:numId w:val="18"/>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学情分析：支持实训成绩、考评成绩双维评价，并记录学生的学习过程，包括实训次数、所担任的岗位、每次实训的得分等。</w:t>
            </w:r>
            <w:r/>
          </w:p>
          <w:p>
            <w:pPr>
              <w:pStyle w:val="849"/>
              <w:numPr>
                <w:ilvl w:val="0"/>
                <w:numId w:val="20"/>
              </w:numPr>
              <w:ind w:left="-36" w:firstLine="0"/>
              <w:spacing w:line="240" w:lineRule="auto"/>
              <w:rPr>
                <w:rFonts w:hint="eastAsia" w:ascii="宋体" w:hAnsi="宋体" w:eastAsia="宋体"/>
                <w:sz w:val="21"/>
                <w:szCs w:val="21"/>
              </w:rPr>
            </w:pPr>
            <w:r>
              <w:rPr>
                <w:rFonts w:hint="eastAsia" w:ascii="宋体" w:hAnsi="宋体" w:eastAsia="宋体"/>
                <w:sz w:val="21"/>
                <w:szCs w:val="21"/>
              </w:rPr>
              <w:t xml:space="preserve">进入实训</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3.1实验介绍：展示本次实训的课程介绍，包含实验目标、实验原理、实验步骤。</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▲3.2AI智能助手：设置AI智能学习助手，可通过问答式交互方式辅助学生经营，支持市场分析、人力资源分析、设备分析、融资复盘、财务复盘、营销复盘等6大类分析场景。</w:t>
            </w:r>
            <w:r>
              <w:rPr>
                <w:rFonts w:hint="eastAsia" w:ascii="宋体" w:hAnsi="宋体" w:eastAsia="宋体"/>
                <w:b/>
                <w:bCs/>
                <w:sz w:val="21"/>
                <w:szCs w:val="21"/>
                <w:lang w:eastAsia="zh-CN"/>
              </w:rPr>
              <w:t xml:space="preserve">（提供功能界面截图证明并加盖投标人公章）</w:t>
            </w:r>
            <w:r/>
          </w:p>
          <w:p>
            <w:pPr>
              <w:pStyle w:val="886"/>
              <w:ind w:left="-36" w:firstLine="0"/>
              <w:rPr>
                <w:rFonts w:hint="eastAsia" w:ascii="宋体" w:hAnsi="宋体" w:eastAsia="宋体" w:cs="Times New Roman"/>
                <w:vanish/>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主页面</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智能小助教：对话问答式工具，可录入问题，由系统进行解答，支持关键字搜索，可通过文本模糊查询知识点。</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财务状况查询：点击后，查询当前企业的财务状态。</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系统公告：查看下载教师下发的资料。</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经营排行：每年结束后，展示经营成绩的排行，包含得分的细项分数。</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市场调研：展示经销商市场的市场需求量概况。</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交易市场：支持进行实时产品、原料等交易。</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数据咨询：企业可支付一定费用，去查看其他企业的实时数据。</w:t>
            </w:r>
            <w:r/>
          </w:p>
          <w:p>
            <w:pPr>
              <w:pStyle w:val="849"/>
              <w:numPr>
                <w:ilvl w:val="0"/>
                <w:numId w:val="22"/>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社会责任：支持与系统设定的10家国际一流企业竞争，并在每个经营年的年末进行权益对比，激发经营动力；经营过程的违约行为会降低企业的信誉度，通过优良差评价企业的信誉度来提升学生的诚信经营思维，通过开展乡村振兴活动来让企业进行资金的捐助，并给捐款企业进行公示，以此提升企业的社会责任；支持实时评价企业在国际市场的销售占比，以此来评价企业的国际视野。</w:t>
            </w:r>
            <w:r/>
          </w:p>
          <w:p>
            <w:pPr>
              <w:pStyle w:val="849"/>
              <w:ind w:left="-36" w:firstLine="0"/>
              <w:spacing w:line="240" w:lineRule="auto"/>
              <w:rPr>
                <w:rFonts w:hint="eastAsia" w:ascii="宋体" w:hAnsi="宋体" w:eastAsia="宋体"/>
                <w:b/>
                <w:bCs/>
                <w:sz w:val="21"/>
                <w:szCs w:val="21"/>
              </w:rPr>
            </w:pPr>
            <w:r>
              <w:rPr>
                <w:rFonts w:hint="eastAsia" w:ascii="宋体" w:hAnsi="宋体" w:eastAsia="宋体"/>
                <w:sz w:val="21"/>
                <w:szCs w:val="21"/>
                <w:lang w:eastAsia="zh-CN"/>
              </w:rPr>
              <w:t xml:space="preserve">5.财务总监</w:t>
            </w:r>
            <w:r/>
          </w:p>
          <w:p>
            <w:pPr>
              <w:pStyle w:val="849"/>
              <w:numPr>
                <w:ilvl w:val="0"/>
                <w:numId w:val="23"/>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融资管理：财务总监岗位可以通过贷款进行企业的融资，让学生训练对筹资决策的分析能力。</w:t>
            </w:r>
            <w:r/>
          </w:p>
          <w:p>
            <w:pPr>
              <w:pStyle w:val="849"/>
              <w:numPr>
                <w:ilvl w:val="0"/>
                <w:numId w:val="23"/>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应收账款管理：财务岗位对企业的应收账款进行管理，对企业的流动资金做收款计划，以及贴现活动，锻炼财务岗位现金流的控制能力。</w:t>
            </w:r>
            <w:r/>
          </w:p>
          <w:p>
            <w:pPr>
              <w:pStyle w:val="849"/>
              <w:numPr>
                <w:ilvl w:val="0"/>
                <w:numId w:val="23"/>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应付账款管理：财务岗位对企业的应付账款进行管理，制定全年的付款计划，锻炼财务岗位现金流管理、升值流动资产的能力。</w:t>
            </w:r>
            <w:r/>
          </w:p>
          <w:p>
            <w:pPr>
              <w:pStyle w:val="849"/>
              <w:numPr>
                <w:ilvl w:val="0"/>
                <w:numId w:val="23"/>
              </w:numPr>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费用管理：财务岗位对企业的一些费用的管理，包括管理费用以及贷款的本金及利息。让财务岗位锻炼财务履约能力。</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▲5.5报表管理：展示企业的三大报表，包括资产负债表，利润表和现金流量表，锻炼财务岗位查看报表、填写报表和分析报表的能力，填写提交后，系统立刻输出正确结果，可对比学习。</w:t>
            </w:r>
            <w:r>
              <w:rPr>
                <w:rFonts w:hint="eastAsia" w:ascii="宋体" w:hAnsi="宋体" w:eastAsia="宋体"/>
                <w:b/>
                <w:bCs/>
                <w:sz w:val="21"/>
                <w:szCs w:val="21"/>
                <w:lang w:eastAsia="zh-CN"/>
              </w:rPr>
              <w:t xml:space="preserve">（提供功能界面截图证明并加盖投标人公章）</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▲5.6财务指标：根据企业三大报表，填入4项偿债能力指标、4项获利能力指标、5项营运能力指标、3项发展能力指标等16项财务指标，填入提交后，系统自动输出正确答案，学生可对比分析正确与否。</w:t>
            </w:r>
            <w:r>
              <w:rPr>
                <w:rFonts w:hint="eastAsia" w:ascii="宋体" w:hAnsi="宋体" w:eastAsia="宋体"/>
                <w:b/>
                <w:bCs/>
                <w:sz w:val="21"/>
                <w:szCs w:val="21"/>
                <w:lang w:eastAsia="zh-CN"/>
              </w:rPr>
              <w:t xml:space="preserve">（提供功能界面截图证明并加盖投标人公章）</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5.7招聘与管理、智能排产:人力资源岗位可以根据用人部门发送来的需求，从人才市场筛选人才，进行招聘。招聘时需要根据人才的能力、期望和市场情况综合判断定薪，发送offer。发送offer后，系统会根据公式判断人才是否入职。通过实操，锻炼人力资源岗位学生筛选人才，人工成本计划和控制的能力。主管可以将企业里的所有员工进行派工，将合适的工人安排到合适的生产线上，以获取最大的产值，通过工人管理，主管可以训练计算生产能力，制作生产计划、制定产能计划的能力。</w:t>
            </w:r>
            <w:r/>
          </w:p>
          <w:p>
            <w:pPr>
              <w:pStyle w:val="849"/>
              <w:ind w:left="-36" w:firstLine="0"/>
              <w:spacing w:line="240" w:lineRule="auto"/>
              <w:rPr>
                <w:rFonts w:hint="eastAsia" w:ascii="宋体" w:hAnsi="宋体" w:eastAsia="宋体"/>
                <w:b/>
                <w:bCs/>
                <w:sz w:val="21"/>
                <w:szCs w:val="21"/>
              </w:rPr>
            </w:pPr>
            <w:r>
              <w:rPr>
                <w:rFonts w:hint="eastAsia" w:ascii="宋体" w:hAnsi="宋体" w:eastAsia="宋体"/>
                <w:sz w:val="21"/>
                <w:szCs w:val="21"/>
                <w:lang w:eastAsia="zh-CN"/>
              </w:rPr>
              <w:t xml:space="preserve">6生产总监</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6.1 设备管理：生产总监要统筹企业中的全部生产设备，新增和删减，维修等等。生产线有不同的类型，不同的产能以及价格，需要根据企业的现状使用符合情况的生产线。通过合理排产，支持企业的销售业务。通过设备管理，可以提高学生对生产成本控制、进度控制、生产调度的能力。</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6.2 库存管理：生产总监肩负着为企业的生产行为提供原材料的责任。根据生产计划制定原料需求计划，根据计划以及采购流程，按期预订原材料，保障生产的进行。当产线生产出产品后，产品将进入到产品库，生产总监也要对其进行管理，对于库存积压或不足的行为，需要予以合理地排产。通过库存管理，生产总监学生可以锻炼其在制品控制、库存控制、生产调度的能力。</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▲6.3可视化数据看板：开启后，看板可自由调整展示的参数内容，可调参数都不少于20个，且包括企业自身实时数据和其他企业的实时数据，可根据需要DIY配置看板内容。</w:t>
            </w:r>
            <w:r>
              <w:rPr>
                <w:rFonts w:hint="eastAsia" w:ascii="宋体" w:hAnsi="宋体" w:eastAsia="宋体"/>
                <w:b/>
                <w:bCs/>
                <w:sz w:val="21"/>
                <w:szCs w:val="21"/>
                <w:lang w:eastAsia="zh-CN"/>
              </w:rPr>
              <w:t xml:space="preserve">（提供功能界面截图证明并加盖投标人公章）</w:t>
            </w:r>
            <w:r/>
          </w:p>
          <w:p>
            <w:pPr>
              <w:pStyle w:val="849"/>
              <w:ind w:left="-36" w:firstLine="0"/>
              <w:spacing w:line="240" w:lineRule="auto"/>
              <w:rPr>
                <w:rFonts w:hint="eastAsia" w:ascii="宋体" w:hAnsi="宋体" w:eastAsia="宋体"/>
                <w:b/>
                <w:bCs/>
                <w:sz w:val="21"/>
                <w:szCs w:val="21"/>
              </w:rPr>
            </w:pPr>
            <w:r>
              <w:rPr>
                <w:rFonts w:hint="eastAsia" w:ascii="宋体" w:hAnsi="宋体" w:eastAsia="宋体"/>
                <w:sz w:val="21"/>
                <w:szCs w:val="21"/>
                <w:lang w:eastAsia="zh-CN"/>
              </w:rPr>
              <w:t xml:space="preserve">7.营销总监</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7.1渠道管理：营销总监负责开拓企业的销售渠道，他需要制定渠道计划，逐步地拓展更大的销售市场，通过渠道管理，营销总监可以锻炼其市场分析、市场定位、细分市场调研等能力。</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7.2产品管理：营销总监负责申报公司的生产资质和质量认证等手续，拓展企业的产品广度与深度。通过产品管理，营销岗位学生可以锻炼营销管理和产品管理的能力。</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7.3促销管理：营销总监根据市场分析的结果，选单细分市场，进行广告方式的促销管理。通过促销管理，营销岗位学生可以学习市场营销管理中的广告策略。</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7.4选单管理：营销总监根据企业的战略，选择不同市场进行订单申报。通过竞单管理，营销岗位能够系统性地锻炼在营销管理中营销 4P 的应用方式。</w:t>
            </w:r>
            <w:r/>
          </w:p>
          <w:p>
            <w:pPr>
              <w:pStyle w:val="849"/>
              <w:ind w:left="-36" w:firstLine="0"/>
              <w:spacing w:line="240" w:lineRule="auto"/>
              <w:rPr>
                <w:rFonts w:hint="eastAsia" w:ascii="宋体" w:hAnsi="宋体" w:eastAsia="宋体"/>
                <w:sz w:val="21"/>
                <w:szCs w:val="21"/>
              </w:rPr>
            </w:pPr>
            <w:r>
              <w:rPr>
                <w:rFonts w:hint="eastAsia" w:ascii="宋体" w:hAnsi="宋体" w:eastAsia="宋体"/>
                <w:sz w:val="21"/>
                <w:szCs w:val="21"/>
                <w:lang w:eastAsia="zh-CN"/>
              </w:rPr>
              <w:t xml:space="preserve">7.5交付管理：营销总监根据企业申报获得的订单，根据企业的库存情况，进行产品交付，获取利润。通过交付管理，营销岗位可以了解企业获取利润的方法，同时认知履约的重要性。</w:t>
            </w:r>
            <w:r/>
          </w:p>
        </w:tc>
      </w:tr>
    </w:tbl>
    <w:p>
      <w:pPr>
        <w:ind w:firstLine="480"/>
        <w:jc w:val="left"/>
        <w:spacing w:line="360" w:lineRule="auto"/>
        <w:rPr>
          <w:rFonts w:ascii="宋体" w:hAnsi="宋体"/>
          <w:sz w:val="24"/>
          <w:szCs w:val="24"/>
        </w:rPr>
      </w:pPr>
      <w:r>
        <w:rPr>
          <w:rFonts w:hint="eastAsia" w:ascii="宋体" w:hAnsi="宋体"/>
          <w:sz w:val="24"/>
          <w:szCs w:val="24"/>
        </w:rPr>
        <w:t xml:space="preserve">注：根据《台式计算机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p>
    <w:p>
      <w:pPr>
        <w:ind w:firstLine="480"/>
        <w:jc w:val="left"/>
        <w:spacing w:line="360" w:lineRule="auto"/>
        <w:rPr>
          <w:rFonts w:hint="eastAsia" w:ascii="宋体" w:hAnsi="宋体"/>
          <w:sz w:val="24"/>
          <w:szCs w:val="24"/>
        </w:rPr>
      </w:pPr>
      <w:r>
        <w:rPr>
          <w:rFonts w:hint="eastAsia" w:ascii="宋体" w:hAnsi="宋体"/>
          <w:sz w:val="24"/>
          <w:szCs w:val="24"/>
        </w:rPr>
        <w:t xml:space="preserve">本项目供货、安装过程中需要的辅材、配件、工具等保证项目实施的必要材料均由中标人提供。</w:t>
      </w:r>
      <w:r/>
    </w:p>
    <w:p>
      <w:pPr>
        <w:ind w:firstLine="562"/>
        <w:jc w:val="left"/>
        <w:spacing w:line="360" w:lineRule="auto"/>
        <w:rPr>
          <w:rFonts w:hint="eastAsia" w:ascii="Times New Roman" w:hAnsi="Times New Roman"/>
          <w:b/>
          <w:sz w:val="28"/>
          <w:szCs w:val="28"/>
        </w:rPr>
      </w:pPr>
      <w:r>
        <w:rPr>
          <w:rFonts w:ascii="Times New Roman" w:hAnsi="Times New Roman"/>
          <w:b/>
          <w:sz w:val="28"/>
          <w:szCs w:val="28"/>
        </w:rPr>
        <w:t xml:space="preserve">五、供货要求</w:t>
      </w:r>
      <w:r/>
    </w:p>
    <w:p>
      <w:pPr>
        <w:ind w:firstLine="480"/>
        <w:jc w:val="left"/>
        <w:spacing w:line="360" w:lineRule="auto"/>
        <w:rPr>
          <w:rFonts w:ascii="宋体" w:hAnsi="宋体"/>
          <w:i/>
          <w:iCs/>
          <w:sz w:val="24"/>
          <w:szCs w:val="24"/>
          <w:highlight w:val="none"/>
          <w:u w:val="single"/>
        </w:rPr>
      </w:pPr>
      <w:r>
        <w:rPr>
          <w:rFonts w:hint="eastAsia" w:ascii="宋体" w:hAnsi="宋体"/>
          <w:i/>
          <w:iCs/>
          <w:sz w:val="24"/>
          <w:szCs w:val="24"/>
          <w:highlight w:val="none"/>
          <w:u w:val="single"/>
        </w:rPr>
        <w:t xml:space="preserve">1.交货期：合同签订后25天内完成安装调试，达到预期效果。</w:t>
      </w:r>
      <w:r/>
    </w:p>
    <w:p>
      <w:pPr>
        <w:ind w:firstLine="480"/>
        <w:jc w:val="left"/>
        <w:spacing w:line="360" w:lineRule="auto"/>
        <w:rPr>
          <w:rFonts w:ascii="宋体" w:hAnsi="宋体"/>
          <w:sz w:val="24"/>
          <w:szCs w:val="24"/>
        </w:rPr>
      </w:pPr>
      <w:r>
        <w:rPr>
          <w:rFonts w:hint="eastAsia" w:ascii="宋体" w:hAnsi="宋体"/>
          <w:sz w:val="24"/>
          <w:szCs w:val="24"/>
        </w:rPr>
        <w:t xml:space="preserve">2.交货方式：</w:t>
      </w:r>
      <w:r>
        <w:rPr>
          <w:rFonts w:hint="eastAsia" w:ascii="宋体" w:hAnsi="宋体"/>
          <w:iCs/>
          <w:sz w:val="24"/>
          <w:szCs w:val="24"/>
        </w:rPr>
        <w:t xml:space="preserve">现场交货。</w:t>
      </w:r>
      <w:r/>
    </w:p>
    <w:p>
      <w:pPr>
        <w:ind w:firstLine="480"/>
        <w:jc w:val="left"/>
        <w:spacing w:line="400" w:lineRule="exact"/>
        <w:rPr>
          <w:rFonts w:hint="eastAsia" w:ascii="宋体" w:hAnsi="宋体"/>
          <w:sz w:val="24"/>
          <w:szCs w:val="24"/>
        </w:rPr>
      </w:pPr>
      <w:r>
        <w:rPr>
          <w:rFonts w:hint="eastAsia" w:ascii="宋体" w:hAnsi="宋体"/>
          <w:sz w:val="24"/>
          <w:szCs w:val="24"/>
        </w:rPr>
        <w:t xml:space="preserve">3.交货地点：</w:t>
      </w:r>
      <w:r>
        <w:rPr>
          <w:rFonts w:hint="eastAsia" w:ascii="宋体" w:hAnsi="宋体"/>
          <w:iCs/>
          <w:sz w:val="24"/>
          <w:szCs w:val="24"/>
        </w:rPr>
        <w:t xml:space="preserve">采购人指定地点</w:t>
      </w:r>
      <w:r>
        <w:rPr>
          <w:rFonts w:hint="eastAsia" w:ascii="宋体" w:hAnsi="宋体"/>
          <w:sz w:val="24"/>
          <w:szCs w:val="24"/>
        </w:rPr>
        <w:t xml:space="preserve">。</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1.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ind w:firstLine="480"/>
        <w:jc w:val="left"/>
        <w:spacing w:line="360" w:lineRule="auto"/>
        <w:rPr>
          <w:rFonts w:hint="eastAsia" w:ascii="宋体" w:hAnsi="宋体"/>
          <w:sz w:val="24"/>
          <w:szCs w:val="24"/>
        </w:rPr>
      </w:pPr>
      <w:r>
        <w:rPr>
          <w:rFonts w:hint="eastAsia" w:ascii="宋体" w:hAnsi="宋体"/>
          <w:sz w:val="24"/>
          <w:szCs w:val="24"/>
        </w:rPr>
        <w:t xml:space="preserve">2.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p>
    <w:p>
      <w:pPr>
        <w:ind w:firstLine="480"/>
        <w:jc w:val="left"/>
        <w:spacing w:line="360" w:lineRule="auto"/>
        <w:rPr>
          <w:rFonts w:ascii="宋体" w:hAnsi="宋体"/>
          <w:sz w:val="24"/>
          <w:szCs w:val="24"/>
        </w:rPr>
      </w:pPr>
      <w:r>
        <w:rPr>
          <w:rFonts w:hint="eastAsia" w:ascii="宋体" w:hAnsi="宋体"/>
          <w:sz w:val="24"/>
          <w:szCs w:val="24"/>
        </w:rPr>
        <w:t xml:space="preserve">3.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p>
    <w:p>
      <w:pPr>
        <w:ind w:firstLine="480"/>
        <w:jc w:val="left"/>
        <w:spacing w:line="360" w:lineRule="auto"/>
        <w:rPr>
          <w:rFonts w:ascii="宋体" w:hAnsi="宋体"/>
          <w:sz w:val="24"/>
          <w:szCs w:val="24"/>
        </w:rPr>
      </w:pPr>
      <w:r>
        <w:rPr>
          <w:rFonts w:hint="eastAsia" w:ascii="宋体" w:hAnsi="宋体"/>
          <w:sz w:val="24"/>
          <w:szCs w:val="24"/>
        </w:rPr>
        <w:t xml:space="preserve">4.所有项目人员入场前，必须接受采购人组织的校园安全守则培训。</w:t>
      </w:r>
      <w:r/>
    </w:p>
    <w:p>
      <w:pPr>
        <w:ind w:firstLine="480"/>
        <w:jc w:val="left"/>
        <w:spacing w:line="360" w:lineRule="auto"/>
        <w:rPr>
          <w:rFonts w:hint="eastAsia" w:ascii="宋体" w:hAnsi="宋体"/>
          <w:sz w:val="24"/>
          <w:szCs w:val="24"/>
        </w:rPr>
      </w:pPr>
      <w:r>
        <w:rPr>
          <w:rFonts w:hint="eastAsia" w:ascii="宋体" w:hAnsi="宋体"/>
          <w:sz w:val="24"/>
          <w:szCs w:val="24"/>
        </w:rPr>
        <w:t xml:space="preserve">5.项目区域必须与校园教学、活动区域实现硬质物理隔离，设置明显的安全警示标志和警戒线。</w:t>
      </w:r>
      <w:r/>
    </w:p>
    <w:p>
      <w:pPr>
        <w:ind w:firstLine="480"/>
        <w:jc w:val="left"/>
        <w:spacing w:line="360" w:lineRule="auto"/>
        <w:rPr>
          <w:rFonts w:ascii="宋体" w:hAnsi="宋体"/>
          <w:sz w:val="24"/>
          <w:szCs w:val="24"/>
        </w:rPr>
      </w:pPr>
      <w:r>
        <w:rPr>
          <w:rFonts w:hint="eastAsia" w:ascii="宋体" w:hAnsi="宋体"/>
          <w:sz w:val="24"/>
          <w:szCs w:val="24"/>
        </w:rPr>
        <w:t xml:space="preserve">6.项目</w:t>
      </w:r>
      <w:r>
        <w:rPr>
          <w:rFonts w:ascii="宋体" w:hAnsi="宋体"/>
          <w:sz w:val="24"/>
          <w:szCs w:val="24"/>
        </w:rPr>
        <w:t xml:space="preserve">现场严禁吸烟，</w:t>
      </w:r>
      <w:r>
        <w:rPr>
          <w:rFonts w:hint="eastAsia" w:ascii="宋体" w:hAnsi="宋体"/>
          <w:sz w:val="24"/>
          <w:szCs w:val="24"/>
        </w:rPr>
        <w:t xml:space="preserve">中标人需</w:t>
      </w:r>
      <w:r>
        <w:rPr>
          <w:rFonts w:ascii="宋体" w:hAnsi="宋体"/>
          <w:sz w:val="24"/>
          <w:szCs w:val="24"/>
        </w:rPr>
        <w:t xml:space="preserve">按规定配备足够且类型合适的灭火器</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7.项目</w:t>
      </w:r>
      <w:r>
        <w:rPr>
          <w:rFonts w:ascii="宋体" w:hAnsi="宋体"/>
          <w:sz w:val="24"/>
          <w:szCs w:val="24"/>
        </w:rPr>
        <w:t xml:space="preserve">材料、设备须分类码放整齐，严禁堵塞消防通道、安全出口。</w:t>
      </w:r>
      <w:r/>
    </w:p>
    <w:p>
      <w:pPr>
        <w:ind w:firstLine="480"/>
        <w:jc w:val="left"/>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每日收工前必须做到“工完场清”，将垃圾及时清运出校园，保持现场整洁。</w:t>
      </w:r>
      <w:r/>
    </w:p>
    <w:p>
      <w:pPr>
        <w:ind w:firstLine="480"/>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p>
    <w:p>
      <w:pPr>
        <w:ind w:firstLine="480"/>
        <w:jc w:val="left"/>
        <w:spacing w:line="360" w:lineRule="auto"/>
        <w:rPr>
          <w:rFonts w:hint="eastAsia" w:ascii="宋体" w:hAnsi="宋体"/>
          <w:sz w:val="24"/>
          <w:szCs w:val="24"/>
        </w:rPr>
      </w:pPr>
      <w:r>
        <w:rPr>
          <w:rFonts w:hint="eastAsia" w:ascii="宋体" w:hAnsi="宋体"/>
          <w:sz w:val="24"/>
          <w:szCs w:val="24"/>
        </w:rPr>
        <w:t xml:space="preserve">1、《台式计算机政府采购需求标准(2023年版)》；</w:t>
      </w:r>
      <w:r/>
    </w:p>
    <w:p>
      <w:pPr>
        <w:ind w:firstLine="480"/>
        <w:jc w:val="left"/>
        <w:spacing w:line="360" w:lineRule="auto"/>
        <w:rPr>
          <w:rFonts w:hint="eastAsia" w:ascii="宋体" w:hAnsi="宋体"/>
          <w:sz w:val="24"/>
          <w:szCs w:val="24"/>
        </w:rPr>
      </w:pPr>
      <w:r>
        <w:rPr>
          <w:rFonts w:hint="eastAsia" w:ascii="宋体" w:hAnsi="宋体"/>
          <w:sz w:val="24"/>
          <w:szCs w:val="24"/>
        </w:rPr>
        <w:t xml:space="preserve">2、</w:t>
      </w:r>
      <w:r>
        <w:rPr>
          <w:rFonts w:ascii="宋体" w:hAnsi="宋体" w:eastAsia="宋体" w:cs="宋体"/>
          <w:color w:val="000000"/>
          <w:sz w:val="24"/>
        </w:rPr>
        <w:t xml:space="preserve">《微型计算机用机箱通用规范》（GB/T 26246-2010）；</w:t>
      </w:r>
      <w:r/>
    </w:p>
    <w:p>
      <w:pPr>
        <w:ind w:firstLine="480"/>
        <w:jc w:val="left"/>
        <w:spacing w:line="360" w:lineRule="auto"/>
        <w:rPr>
          <w:rFonts w:hint="eastAsia" w:ascii="宋体" w:hAnsi="宋体"/>
          <w:sz w:val="24"/>
          <w:szCs w:val="24"/>
          <w14:ligatures w14:val="none"/>
        </w:rPr>
      </w:pPr>
      <w:r>
        <w:rPr>
          <w:rFonts w:hint="eastAsia" w:ascii="宋体" w:hAnsi="宋体"/>
          <w:sz w:val="24"/>
          <w:szCs w:val="24"/>
        </w:rPr>
        <w:t xml:space="preserve">3、《计算机通用规范 第1部分：台式微型计算机》（GB/T 9813.1-2016）。</w:t>
      </w:r>
      <w:r/>
    </w:p>
    <w:p>
      <w:pPr>
        <w:ind w:firstLine="480"/>
        <w:jc w:val="left"/>
        <w:spacing w:line="360" w:lineRule="auto"/>
        <w:rPr>
          <w:rFonts w:hint="eastAsia" w:ascii="宋体" w:hAnsi="宋体"/>
          <w:sz w:val="24"/>
          <w:szCs w:val="24"/>
        </w:rPr>
      </w:pPr>
      <w:r>
        <w:rPr>
          <w:rFonts w:hint="eastAsia" w:ascii="宋体" w:hAnsi="宋体"/>
          <w:sz w:val="24"/>
          <w:szCs w:val="24"/>
        </w:rPr>
        <w:t xml:space="preserve">上述标准为一般性要求，项目实施期间如有最新要求，按最新标准执行。</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本项目配备项目组成员不低于5名，包含1名项目负责人，项目组成员不低于4名（含维护期内维护人员）需具有本项目相关领域的专业知识、工作经验，与项目实施内容和要求相适应。负责所有软、硬件设备安装、网络调试，质保期内售后服务等工作，同时配合学校做好验收工作。</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项目负责人：协调项目全过程的各项工作，把握项目进度、质量把控、产品验收、包装运输、指导安装、调试及验收等，有计算机软硬件系统集成、网络调试及技术服务等相关经验，能够及时与采购人对接工作，指导项目团队成员认真完成每一项工作。</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项目组成人员需为专业人员且具有参与类似项目的经验，以保证项目实施质量。负责网络的运行维护，系统</w:t>
      </w:r>
      <w:r>
        <w:rPr>
          <w:rFonts w:ascii="Segoe UI" w:hAnsi="Segoe UI" w:eastAsia="Segoe UI" w:cs="Segoe UI"/>
          <w:color w:val="0f1115"/>
          <w:sz w:val="24"/>
          <w:szCs w:val="24"/>
          <w:shd w:val="clear" w:color="auto" w:fill="ffffff"/>
        </w:rPr>
        <w:t xml:space="preserve">集成项目</w:t>
      </w:r>
      <w:r>
        <w:rPr>
          <w:rFonts w:hint="eastAsia" w:ascii="Times New Roman" w:hAnsi="Times New Roman"/>
          <w:sz w:val="24"/>
          <w:szCs w:val="24"/>
        </w:rPr>
        <w:t xml:space="preserve">建设、维护与管理，根据业务需求调整设备配置。负责网络系统的建设、维护与管理。项目组成员需</w:t>
      </w:r>
      <w:r>
        <w:rPr>
          <w:rFonts w:ascii="Segoe UI" w:hAnsi="Segoe UI" w:eastAsia="Segoe UI" w:cs="Segoe UI"/>
          <w:color w:val="0f1115"/>
          <w:sz w:val="24"/>
          <w:szCs w:val="24"/>
          <w:shd w:val="clear" w:color="auto" w:fill="ffffff"/>
        </w:rPr>
        <w:t xml:space="preserve">具备桌面支持、系统运维及用户服务管理</w:t>
      </w:r>
      <w:r>
        <w:rPr>
          <w:rFonts w:hint="eastAsia" w:ascii="Segoe UI" w:hAnsi="Segoe UI" w:cs="Segoe UI"/>
          <w:color w:val="0f1115"/>
          <w:sz w:val="24"/>
          <w:szCs w:val="24"/>
          <w:shd w:val="clear" w:color="auto" w:fill="ffffff"/>
        </w:rPr>
        <w:t xml:space="preserve">能力，掌握</w:t>
      </w:r>
      <w:r>
        <w:rPr>
          <w:rFonts w:ascii="Segoe UI" w:hAnsi="Segoe UI" w:eastAsia="Segoe UI" w:cs="Segoe UI"/>
          <w:color w:val="0f1115"/>
          <w:sz w:val="24"/>
          <w:szCs w:val="24"/>
          <w:shd w:val="clear" w:color="auto" w:fill="ffffff"/>
        </w:rPr>
        <w:t xml:space="preserve">需求分析、软件架构设计</w:t>
      </w:r>
      <w:r>
        <w:rPr>
          <w:rFonts w:hint="eastAsia" w:ascii="Segoe UI" w:hAnsi="Segoe UI" w:cs="Segoe UI"/>
          <w:color w:val="0f1115"/>
          <w:sz w:val="24"/>
          <w:szCs w:val="24"/>
          <w:shd w:val="clear" w:color="auto" w:fill="ffffff"/>
        </w:rPr>
        <w:t xml:space="preserve">等知识</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1.中标人应在完成供货后提供一份验收大纲作为采购人验收的依据；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2.设备到达采购人现场前，应提前通知采购人做好接收准备，设备到达现场后由采购人会同有关单位和人员根据清单进行现场商检和验收；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3.货物安装调试完成后，中标人须提供产品合格证、主要货物厂家质保书、保修证明等书面资料，并报请采购方进行检测验收。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4.具备以下条件，方可通过验收：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（1）经验收，设备及系统的各类性能及指标完全符合招标文件的技术要求、用途及功能需求。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（2）初验中出现的问题，已由中标人全部做好处理（永久性的而非临时性的），并经再次检测合格。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（3）合同规定的技术文件，除竣工验收文件外，其它已经如数提交给采购人。 </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（4）合同规定由中标供应商提供的技术服务已经实现。 </w:t>
      </w:r>
      <w:r/>
    </w:p>
    <w:p>
      <w:pPr>
        <w:ind w:firstLine="480"/>
        <w:jc w:val="left"/>
        <w:spacing w:line="360" w:lineRule="auto"/>
        <w:rPr>
          <w:rFonts w:hint="eastAsia" w:ascii="Times New Roman" w:hAnsi="Times New Roman"/>
          <w:sz w:val="24"/>
          <w:szCs w:val="24"/>
        </w:rPr>
      </w:pPr>
      <w:r>
        <w:rPr>
          <w:rFonts w:ascii="Times New Roman" w:hAnsi="Times New Roman"/>
          <w:sz w:val="24"/>
          <w:szCs w:val="24"/>
        </w:rPr>
        <w:t xml:space="preserve">（5）中标人与采购人共同组织或委托第三方来确认是否达到验收标准（参照验收大纲及有关标准由双方协商决定），若符合验收标准则验收合格</w:t>
      </w:r>
      <w:r>
        <w:rPr>
          <w:rFonts w:hint="eastAsia" w:ascii="Times New Roman" w:hAnsi="Times New Roman"/>
          <w:sz w:val="24"/>
          <w:szCs w:val="24"/>
        </w:rPr>
        <w:t xml:space="preserve">。</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1.制定完善的培训方案、提供完整培训使用手册等，对设备管理人员、采购人的系统维护人员提供针对性培训，包括产品使用、系统维护等。（培训期间的所有费用包含在预算内）</w:t>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2.中标人至少配备2名技术工程师为采购人2名以上人员提供设备操作及日常维护培训。</w:t>
      </w:r>
      <w:r/>
    </w:p>
    <w:p>
      <w:pPr>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3.中标人须派遣技术人员上门提供1天以上的现场技术培训，保证采购人2-4名工作人员能够独立进行操作和处理。</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十一、售后服务要求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1.质保期：3年。</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质保期间，中标人承担维修、保养、安检、调换等，相关费用包含在预算内，采购方不再支付任何费用；对于采购方人为原因造成的故障，中标人只收取维保成本费用。</w:t>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2.服务响应时间：提供上门服务，在8小时内响应，1个工作日内解决使用单位提出的维修要求。若超过7工作日无法解决由中标人提供性能不低于故障产品的备用产品。 </w:t>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3.及时提供技术咨询和软件升级服务，提供不定期的应用技术培训服务。</w:t>
      </w:r>
      <w:r/>
    </w:p>
    <w:p>
      <w:pPr>
        <w:pStyle w:val="881"/>
        <w:ind w:firstLine="480"/>
        <w:spacing w:line="360" w:lineRule="auto"/>
        <w:rPr>
          <w:rFonts w:hint="eastAsia" w:ascii="宋体" w:hAnsi="宋体" w:cs="宋体"/>
          <w:color w:val="000000"/>
          <w:sz w:val="24"/>
        </w:rPr>
      </w:pPr>
      <w:r>
        <w:rPr>
          <w:rFonts w:hint="eastAsia" w:ascii="宋体" w:hAnsi="宋体" w:cs="宋体"/>
          <w:color w:val="000000"/>
          <w:sz w:val="24"/>
        </w:rPr>
        <w:t xml:space="preserve">4.质保期由设备安装调试验收合格后开始计算。质保期内中标人承担维修、保养、安检、调换等，相关费用包含在预算内，采购方不再支付任何费用；对于采购方人为原因造成的故障，中标人只收取维保成本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hint="eastAsia"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十三、投标报价要求</w:t>
      </w:r>
      <w:r/>
    </w:p>
    <w:p>
      <w:pPr>
        <w:pStyle w:val="881"/>
        <w:ind w:firstLine="480"/>
        <w:spacing w:line="360" w:lineRule="auto"/>
        <w:rPr>
          <w:rFonts w:hint="eastAsia" w:ascii="Times New Roman" w:hAnsi="Times New Roman"/>
          <w:bCs/>
          <w:color w:val="000000"/>
          <w:sz w:val="24"/>
        </w:rPr>
      </w:pPr>
      <w:r>
        <w:rPr>
          <w:rFonts w:hint="eastAsia" w:ascii="Times New Roman" w:hAnsi="Times New Roman"/>
          <w:color w:val="000000"/>
          <w:sz w:val="24"/>
        </w:rPr>
        <w:t xml:space="preserve">投标报价应是招标文件（包括合同条款及采购人提供的技术资料）所确定的采购范围内的全部工作内容的价格体现，应涵盖采购人在招标文件中所要求的所有工作内容。包含了所供的全部货物、材料、包装物、运杂费（运抵现场）、卸货费、安装调试费、措施费、运输保险费、检测费、技术服务费、政策性规定的各项费用以及投标人确认为需要发生的其它费用等，直至交付至采购人使用时所需要的各种费用（包含所有隐含的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p>
    <w:p>
      <w:pPr>
        <w:ind w:firstLine="480"/>
        <w:jc w:val="left"/>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rPr>
        <w:t xml:space="preserve">1、付款方式：供货安装完成并最终验收合格后支付合同总金额的100％。</w:t>
      </w:r>
      <w:r/>
    </w:p>
    <w:p>
      <w:pPr>
        <w:ind w:firstLine="480"/>
        <w:jc w:val="left"/>
        <w:spacing w:line="360" w:lineRule="auto"/>
        <w:rPr>
          <w:rFonts w:ascii="宋体" w:hAnsi="宋体"/>
          <w:sz w:val="24"/>
          <w:szCs w:val="24"/>
        </w:rPr>
      </w:pPr>
      <w:r>
        <w:rPr>
          <w:rFonts w:hint="eastAsia" w:ascii="宋体" w:hAnsi="宋体"/>
          <w:sz w:val="24"/>
          <w:szCs w:val="24"/>
        </w:rPr>
        <w:t xml:space="preserve">2、履约保证金：本项目不收取履约保证金。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12"/>
      <w:r/>
      <w:bookmarkEnd w:id="13"/>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843"/>
        <w:jc w:val="center"/>
        <w:spacing w:before="156" w:after="156" w:line="360" w:lineRule="auto"/>
        <w:rPr>
          <w:rFonts w:ascii="黑体" w:hAnsi="黑体" w:eastAsia="黑体"/>
          <w:b w:val="0"/>
        </w:rPr>
      </w:pPr>
      <w:r/>
      <w:bookmarkStart w:id="23"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23"/>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rFonts w:hint="eastAsia"/>
          <w:sz w:val="24"/>
          <w:szCs w:val="24"/>
        </w:rPr>
      </w:pPr>
      <w:r>
        <w:rPr>
          <w:rFonts w:hint="eastAsia"/>
          <w:color w:val="000000"/>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rPr>
          <w:rFonts w:hint="eastAsia"/>
          <w:sz w:val="24"/>
          <w:szCs w:val="24"/>
          <w:highlight w:val="none"/>
          <w:lang w:eastAsia="zh-CN"/>
        </w:rPr>
        <w:t xml:space="preserve">。</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（2）技术分（48分）</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评审因素</w:t>
            </w:r>
            <w:r/>
          </w:p>
        </w:tc>
        <w:tc>
          <w:tcPr>
            <w:tcW w:w="68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评审标准</w:t>
            </w:r>
            <w:r/>
          </w:p>
        </w:tc>
      </w:tr>
      <w:tr>
        <w:trPr>
          <w:jc w:val="center"/>
          <w:trHeight w:val="274"/>
        </w:trPr>
        <w:tc>
          <w:tcPr>
            <w:tcW w:w="1660" w:type="dxa"/>
            <w:vAlign w:val="center"/>
            <w:textDirection w:val="lrTb"/>
            <w:noWrap w:val="false"/>
          </w:tcPr>
          <w:p>
            <w:pPr>
              <w:jc w:val="center"/>
              <w:spacing w:line="288" w:lineRule="auto"/>
              <w:rPr>
                <w:rFonts w:hint="eastAsia" w:ascii="宋体" w:hAnsi="宋体" w:eastAsia="宋体"/>
                <w:lang w:eastAsia="zh-CN"/>
              </w:rPr>
            </w:pPr>
            <w:r>
              <w:rPr>
                <w:rFonts w:hint="eastAsia" w:ascii="宋体" w:hAnsi="宋体"/>
              </w:rPr>
              <w:t xml:space="preserve">技术</w:t>
            </w:r>
            <w:r>
              <w:rPr>
                <w:rFonts w:hint="eastAsia" w:ascii="宋体" w:hAnsi="宋体"/>
                <w:lang w:val="en-US" w:eastAsia="zh-CN"/>
              </w:rPr>
              <w:t xml:space="preserve">参数</w:t>
            </w:r>
            <w:r/>
          </w:p>
          <w:p>
            <w:pPr>
              <w:jc w:val="center"/>
              <w:spacing w:line="288" w:lineRule="auto"/>
              <w:rPr>
                <w:rFonts w:hint="eastAsia" w:ascii="宋体" w:hAnsi="宋体"/>
              </w:rPr>
            </w:pPr>
            <w:r>
              <w:rPr>
                <w:rFonts w:hint="eastAsia" w:ascii="宋体" w:hAnsi="宋体"/>
              </w:rPr>
              <w:t xml:space="preserve">（30分）</w:t>
            </w:r>
            <w:r/>
          </w:p>
        </w:tc>
        <w:tc>
          <w:tcPr>
            <w:tcW w:w="6845" w:type="dxa"/>
            <w:vAlign w:val="center"/>
            <w:textDirection w:val="lrTb"/>
            <w:noWrap w:val="false"/>
          </w:tcPr>
          <w:p>
            <w:pPr>
              <w:spacing w:line="320" w:lineRule="exact"/>
              <w:rPr>
                <w:rFonts w:hint="eastAsia" w:ascii="宋体" w:hAnsi="宋体"/>
              </w:rPr>
            </w:pPr>
            <w:r>
              <w:rPr>
                <w:rFonts w:hint="eastAsia" w:ascii="宋体" w:hAnsi="宋体"/>
              </w:rPr>
              <w:t xml:space="preserve">技术参数响应评审基准分30分，标注“▲”项的参数每有一项负偏离扣1.5分，扣完为止。</w:t>
            </w:r>
            <w:r/>
          </w:p>
          <w:p>
            <w:pPr>
              <w:spacing w:line="320" w:lineRule="exact"/>
              <w:rPr>
                <w:rFonts w:hint="eastAsia" w:ascii="宋体" w:hAnsi="宋体"/>
                <w:b/>
              </w:rPr>
            </w:pPr>
            <w:r>
              <w:rPr>
                <w:rFonts w:hint="eastAsia" w:ascii="宋体" w:hAnsi="宋体"/>
                <w:b/>
                <w:lang w:val="en-US" w:eastAsia="zh-CN"/>
              </w:rPr>
              <w:t xml:space="preserve">注：</w:t>
            </w:r>
            <w:r>
              <w:rPr>
                <w:rFonts w:hint="eastAsia" w:ascii="宋体" w:hAnsi="宋体"/>
                <w:b/>
              </w:rPr>
              <w:t xml:space="preserve">投标文件中详细填写技术要求响应及偏离表，须逐条响应。标注“▲”项要求提供证明材料的未提供、或提供不全、或所提供材料与招标文件要求不符的视为负偏离。</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bookmarkStart w:id="24" w:name="_Hlk201765845"/>
            <w:r>
              <w:rPr>
                <w:rFonts w:hint="eastAsia" w:ascii="宋体" w:hAnsi="宋体"/>
                <w:szCs w:val="21"/>
              </w:rPr>
              <w:t xml:space="preserve">实施方案</w:t>
            </w:r>
            <w:bookmarkEnd w:id="24"/>
            <w:r/>
          </w:p>
          <w:p>
            <w:pPr>
              <w:jc w:val="center"/>
              <w:spacing w:line="276" w:lineRule="auto"/>
            </w:pPr>
            <w:r>
              <w:rPr>
                <w:rFonts w:hint="eastAsia" w:ascii="宋体" w:hAnsi="宋体"/>
                <w:szCs w:val="21"/>
              </w:rPr>
              <w:t xml:space="preserve">（6分）</w:t>
            </w:r>
            <w:r/>
          </w:p>
        </w:tc>
        <w:tc>
          <w:tcPr>
            <w:tcW w:w="6845" w:type="dxa"/>
            <w:vAlign w:val="center"/>
            <w:textDirection w:val="lrTb"/>
            <w:noWrap w:val="false"/>
          </w:tcPr>
          <w:p>
            <w:pPr>
              <w:rPr>
                <w:rFonts w:hint="eastAsia" w:ascii="宋体" w:hAnsi="宋体"/>
                <w:szCs w:val="21"/>
              </w:rPr>
            </w:pPr>
            <w:r>
              <w:rPr>
                <w:rFonts w:hint="eastAsia" w:ascii="宋体" w:hAnsi="宋体"/>
                <w:bCs/>
                <w:szCs w:val="21"/>
              </w:rPr>
              <w:t xml:space="preserve">投标文件中提供</w:t>
            </w:r>
            <w:r>
              <w:rPr>
                <w:rFonts w:hint="eastAsia" w:ascii="宋体" w:hAnsi="宋体"/>
                <w:bCs/>
                <w:szCs w:val="21"/>
                <w:lang w:val="zh-CN"/>
              </w:rPr>
              <w:t xml:space="preserve">实施方案，</w:t>
            </w:r>
            <w:r>
              <w:rPr>
                <w:rFonts w:hint="eastAsia" w:ascii="宋体" w:hAnsi="宋体"/>
                <w:szCs w:val="21"/>
              </w:rPr>
              <w:t xml:space="preserve">方案包括但不限于</w:t>
            </w:r>
            <w:bookmarkStart w:id="25" w:name="_Hlk201764916"/>
            <w:r>
              <w:rPr>
                <w:rFonts w:hint="eastAsia" w:ascii="宋体" w:hAnsi="宋体"/>
                <w:szCs w:val="21"/>
              </w:rPr>
              <w:t xml:space="preserve">组织和实施流程、设备安装方案</w:t>
            </w:r>
            <w:bookmarkEnd w:id="25"/>
            <w:r>
              <w:rPr>
                <w:rFonts w:hint="eastAsia" w:ascii="宋体" w:hAnsi="宋体"/>
                <w:szCs w:val="21"/>
              </w:rPr>
              <w:t xml:space="preserve">、进度计划、质量保证措施、紧急预案等内容：</w:t>
            </w:r>
            <w:r/>
          </w:p>
          <w:p>
            <w:pPr>
              <w:spacing w:line="320" w:lineRule="exact"/>
            </w:pPr>
            <w:r>
              <w:rPr>
                <w:rFonts w:hint="eastAsia"/>
              </w:rPr>
              <w:t xml:space="preserve">方案包含上述全部内容，实施流程清晰，安装及进度计划内容详细，措施完善，预案可操作性强，能够满足本项目需求的</w:t>
            </w:r>
            <w:r>
              <w:rPr>
                <w:rFonts w:hint="eastAsia"/>
                <w:b/>
                <w:bCs/>
              </w:rPr>
              <w:t xml:space="preserve">得6分</w:t>
            </w:r>
            <w:r>
              <w:rPr>
                <w:rFonts w:hint="eastAsia"/>
              </w:rPr>
              <w:t xml:space="preserve">；</w:t>
            </w:r>
            <w:r/>
          </w:p>
          <w:p>
            <w:pPr>
              <w:spacing w:line="320" w:lineRule="exact"/>
            </w:pPr>
            <w:r>
              <w:rPr>
                <w:rFonts w:hint="eastAsia"/>
              </w:rPr>
              <w:t xml:space="preserve">方案包含上述全部内容，流程</w:t>
            </w:r>
            <w:r>
              <w:rPr>
                <w:rFonts w:hint="eastAsia"/>
                <w:lang w:val="en-US" w:eastAsia="zh-CN"/>
              </w:rPr>
              <w:t xml:space="preserve">比</w:t>
            </w:r>
            <w:r>
              <w:rPr>
                <w:rFonts w:hint="eastAsia"/>
              </w:rPr>
              <w:t xml:space="preserve">较清晰，安装及进度计划内容</w:t>
            </w:r>
            <w:r>
              <w:rPr>
                <w:rFonts w:hint="eastAsia"/>
                <w:lang w:val="en-US" w:eastAsia="zh-CN"/>
              </w:rPr>
              <w:t xml:space="preserve">比</w:t>
            </w:r>
            <w:r>
              <w:rPr>
                <w:rFonts w:hint="eastAsia"/>
              </w:rPr>
              <w:t xml:space="preserve">较详细，有对应措施，预案可操作性较强的</w:t>
            </w:r>
            <w:r>
              <w:rPr>
                <w:rFonts w:hint="eastAsia"/>
                <w:b/>
                <w:bCs/>
              </w:rPr>
              <w:t xml:space="preserve">得4分</w:t>
            </w:r>
            <w:r>
              <w:rPr>
                <w:rFonts w:hint="eastAsia"/>
              </w:rPr>
              <w:t xml:space="preserve">；</w:t>
            </w:r>
            <w:r/>
          </w:p>
          <w:p>
            <w:pPr>
              <w:spacing w:line="320" w:lineRule="exact"/>
            </w:pPr>
            <w:r>
              <w:rPr>
                <w:rFonts w:hint="eastAsia"/>
              </w:rPr>
              <w:t xml:space="preserve">上述内容有缺项，内容合理性一般，措施简单粗糙，可操作性</w:t>
            </w:r>
            <w:r>
              <w:rPr>
                <w:rFonts w:hint="eastAsia"/>
                <w:lang w:val="en-US" w:eastAsia="zh-CN"/>
              </w:rPr>
              <w:t xml:space="preserve">一般</w:t>
            </w:r>
            <w:r>
              <w:rPr>
                <w:rFonts w:hint="eastAsia"/>
              </w:rPr>
              <w:t xml:space="preserve">的</w:t>
            </w:r>
            <w:r>
              <w:rPr>
                <w:rFonts w:hint="eastAsia"/>
                <w:b/>
                <w:bCs/>
              </w:rPr>
              <w:t xml:space="preserve">得2分</w:t>
            </w:r>
            <w:r>
              <w:rPr>
                <w:rFonts w:hint="eastAsia"/>
              </w:rPr>
              <w:t xml:space="preserve">。</w:t>
            </w:r>
            <w:r/>
          </w:p>
          <w:p>
            <w:pPr>
              <w:jc w:val="left"/>
              <w:spacing w:line="276" w:lineRule="auto"/>
            </w:pPr>
            <w:r>
              <w:rPr>
                <w:rFonts w:hint="eastAsia"/>
                <w:b/>
                <w:bCs/>
              </w:rPr>
              <w:t xml:space="preserve">该项未见阐述不得分。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售后服务方案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cs="宋体"/>
                <w:szCs w:val="21"/>
              </w:rPr>
              <w:t xml:space="preserve">（6分）</w:t>
            </w:r>
            <w:r/>
          </w:p>
        </w:tc>
        <w:tc>
          <w:tcPr>
            <w:tcW w:w="6845"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投标文件中提供售后服务方案，方案包括但不限于服务内容、响应时间、故障处理、恢复时效、人员力量、支撑保障、维护服务保障体系等内容：</w:t>
            </w:r>
            <w:r/>
          </w:p>
          <w:p>
            <w:pPr>
              <w:spacing w:line="320" w:lineRule="exact"/>
            </w:pPr>
            <w:r>
              <w:rPr>
                <w:rFonts w:hint="eastAsia"/>
              </w:rPr>
              <w:t xml:space="preserve">方案阐述详细，响应时间及故障处理及时，人员配备合理，支撑保障措施完善，具备完善的服务保障体系的</w:t>
            </w:r>
            <w:r>
              <w:rPr>
                <w:rFonts w:hint="eastAsia"/>
                <w:b/>
                <w:bCs/>
              </w:rPr>
              <w:t xml:space="preserve">得6分</w:t>
            </w:r>
            <w:r>
              <w:rPr>
                <w:rFonts w:hint="eastAsia"/>
              </w:rPr>
              <w:t xml:space="preserve">；</w:t>
            </w:r>
            <w:r/>
          </w:p>
          <w:p>
            <w:pPr>
              <w:spacing w:line="320" w:lineRule="exact"/>
            </w:pPr>
            <w:r>
              <w:rPr>
                <w:rFonts w:hint="eastAsia"/>
              </w:rPr>
              <w:t xml:space="preserve">方案阐述</w:t>
            </w:r>
            <w:r>
              <w:rPr>
                <w:rFonts w:hint="eastAsia"/>
                <w:lang w:val="en-US" w:eastAsia="zh-CN"/>
              </w:rPr>
              <w:t xml:space="preserve">比</w:t>
            </w:r>
            <w:r>
              <w:rPr>
                <w:rFonts w:hint="eastAsia"/>
              </w:rPr>
              <w:t xml:space="preserve">较详细，响应时间及故障处理</w:t>
            </w:r>
            <w:r>
              <w:rPr>
                <w:rFonts w:hint="eastAsia"/>
                <w:lang w:val="en-US" w:eastAsia="zh-CN"/>
              </w:rPr>
              <w:t xml:space="preserve">比</w:t>
            </w:r>
            <w:r>
              <w:rPr>
                <w:rFonts w:hint="eastAsia"/>
              </w:rPr>
              <w:t xml:space="preserve">较及时，人员配备</w:t>
            </w:r>
            <w:r>
              <w:rPr>
                <w:rFonts w:hint="eastAsia"/>
                <w:lang w:val="en-US" w:eastAsia="zh-CN"/>
              </w:rPr>
              <w:t xml:space="preserve">比</w:t>
            </w:r>
            <w:r>
              <w:rPr>
                <w:rFonts w:hint="eastAsia"/>
              </w:rPr>
              <w:t xml:space="preserve">较合理，支撑保障措施</w:t>
            </w:r>
            <w:r>
              <w:rPr>
                <w:rFonts w:hint="eastAsia"/>
                <w:lang w:val="en-US" w:eastAsia="zh-CN"/>
              </w:rPr>
              <w:t xml:space="preserve">比</w:t>
            </w:r>
            <w:r>
              <w:rPr>
                <w:rFonts w:hint="eastAsia"/>
              </w:rPr>
              <w:t xml:space="preserve">较完善，具有一定的服务保障体系的</w:t>
            </w:r>
            <w:r>
              <w:rPr>
                <w:rFonts w:hint="eastAsia"/>
                <w:b/>
                <w:bCs/>
              </w:rPr>
              <w:t xml:space="preserve">得4分</w:t>
            </w:r>
            <w:r>
              <w:rPr>
                <w:rFonts w:hint="eastAsia"/>
              </w:rPr>
              <w:t xml:space="preserve">；</w:t>
            </w:r>
            <w:r/>
          </w:p>
          <w:p>
            <w:pPr>
              <w:spacing w:line="320" w:lineRule="exact"/>
            </w:pPr>
            <w:r>
              <w:rPr>
                <w:rFonts w:hint="eastAsia"/>
              </w:rPr>
              <w:t xml:space="preserve">方案内容简单粗糙，上述内容有缺项，可实施性一般的</w:t>
            </w:r>
            <w:r>
              <w:rPr>
                <w:rFonts w:hint="eastAsia"/>
                <w:b/>
                <w:bCs/>
              </w:rPr>
              <w:t xml:space="preserve">得2分</w:t>
            </w:r>
            <w:r>
              <w:rPr>
                <w:rFonts w:hint="eastAsia"/>
              </w:rPr>
              <w:t xml:space="preserve">。</w:t>
            </w:r>
            <w:r/>
          </w:p>
          <w:p>
            <w:pPr>
              <w:rPr>
                <w:rFonts w:hint="eastAsia" w:ascii="宋体" w:hAnsi="宋体"/>
                <w:bCs/>
                <w:szCs w:val="21"/>
                <w:lang w:val="zh-CN"/>
              </w:rPr>
            </w:pPr>
            <w:r>
              <w:rPr>
                <w:rFonts w:hint="eastAsia"/>
                <w:b/>
                <w:bCs/>
              </w:rPr>
              <w:t xml:space="preserve">该项未见阐述不得分。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培训方案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szCs w:val="21"/>
              </w:rPr>
              <w:t xml:space="preserve">（6分）</w:t>
            </w:r>
            <w:r/>
          </w:p>
        </w:tc>
        <w:tc>
          <w:tcPr>
            <w:tcW w:w="6845"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投标文件中提供培训方案，方案包括但不限于培训计划、培训内容、培训对象等内容：</w:t>
            </w:r>
            <w:r/>
          </w:p>
          <w:p>
            <w:pPr>
              <w:spacing w:line="320" w:lineRule="exact"/>
            </w:pPr>
            <w:r>
              <w:rPr>
                <w:rFonts w:hint="eastAsia"/>
              </w:rPr>
              <w:t xml:space="preserve">方案内容丰富，</w:t>
            </w:r>
            <w:r>
              <w:rPr>
                <w:rFonts w:hint="eastAsia" w:ascii="宋体" w:hAnsi="宋体"/>
                <w:color w:val="000000"/>
                <w:szCs w:val="21"/>
              </w:rPr>
              <w:t xml:space="preserve">培训计划</w:t>
            </w:r>
            <w:r>
              <w:rPr>
                <w:rFonts w:hint="eastAsia"/>
              </w:rPr>
              <w:t xml:space="preserve">科学合理，培训形式多样，可操作性</w:t>
            </w:r>
            <w:r>
              <w:rPr>
                <w:rFonts w:hint="eastAsia"/>
                <w:lang w:val="en-US" w:eastAsia="zh-CN"/>
              </w:rPr>
              <w:t xml:space="preserve">强</w:t>
            </w:r>
            <w:r>
              <w:rPr>
                <w:rFonts w:hint="eastAsia"/>
              </w:rPr>
              <w:t xml:space="preserve">的</w:t>
            </w:r>
            <w:r>
              <w:rPr>
                <w:rFonts w:hint="eastAsia"/>
                <w:b/>
                <w:bCs/>
              </w:rPr>
              <w:t xml:space="preserve">得6分</w:t>
            </w:r>
            <w:r>
              <w:rPr>
                <w:rFonts w:hint="eastAsia"/>
              </w:rPr>
              <w:t xml:space="preserve">；</w:t>
            </w:r>
            <w:r/>
          </w:p>
          <w:p>
            <w:pPr>
              <w:spacing w:line="320" w:lineRule="exact"/>
            </w:pPr>
            <w:r>
              <w:rPr>
                <w:rFonts w:hint="eastAsia"/>
              </w:rPr>
              <w:t xml:space="preserve">方案内容</w:t>
            </w:r>
            <w:r>
              <w:rPr>
                <w:rFonts w:hint="eastAsia"/>
                <w:lang w:val="en-US" w:eastAsia="zh-CN"/>
              </w:rPr>
              <w:t xml:space="preserve">比</w:t>
            </w:r>
            <w:r>
              <w:rPr>
                <w:rFonts w:hint="eastAsia"/>
              </w:rPr>
              <w:t xml:space="preserve">较丰富，</w:t>
            </w:r>
            <w:r>
              <w:rPr>
                <w:rFonts w:hint="eastAsia" w:ascii="宋体" w:hAnsi="宋体"/>
                <w:color w:val="000000"/>
                <w:szCs w:val="21"/>
              </w:rPr>
              <w:t xml:space="preserve">培训计划</w:t>
            </w:r>
            <w:r>
              <w:rPr>
                <w:rFonts w:hint="eastAsia"/>
                <w:lang w:val="en-US" w:eastAsia="zh-CN"/>
              </w:rPr>
              <w:t xml:space="preserve">比</w:t>
            </w:r>
            <w:r>
              <w:rPr>
                <w:rFonts w:hint="eastAsia"/>
              </w:rPr>
              <w:t xml:space="preserve">较合理，培训形式</w:t>
            </w:r>
            <w:r>
              <w:rPr>
                <w:rFonts w:hint="eastAsia"/>
                <w:lang w:val="en-US" w:eastAsia="zh-CN"/>
              </w:rPr>
              <w:t xml:space="preserve">比</w:t>
            </w:r>
            <w:r>
              <w:rPr>
                <w:rFonts w:hint="eastAsia"/>
              </w:rPr>
              <w:t xml:space="preserve">较多样，可操作性较强的</w:t>
            </w:r>
            <w:r>
              <w:rPr>
                <w:rFonts w:hint="eastAsia"/>
                <w:b/>
                <w:bCs/>
              </w:rPr>
              <w:t xml:space="preserve">得4分</w:t>
            </w:r>
            <w:r>
              <w:rPr>
                <w:rFonts w:hint="eastAsia"/>
              </w:rPr>
              <w:t xml:space="preserve">；</w:t>
            </w:r>
            <w:r/>
          </w:p>
          <w:p>
            <w:pPr>
              <w:spacing w:line="320" w:lineRule="exact"/>
            </w:pPr>
            <w:r>
              <w:rPr>
                <w:rFonts w:hint="eastAsia"/>
              </w:rPr>
              <w:t xml:space="preserve">方案内容简单，</w:t>
            </w:r>
            <w:r>
              <w:rPr>
                <w:rFonts w:hint="eastAsia" w:ascii="宋体" w:hAnsi="宋体"/>
                <w:color w:val="000000"/>
                <w:szCs w:val="21"/>
              </w:rPr>
              <w:t xml:space="preserve">培训计划</w:t>
            </w:r>
            <w:r>
              <w:rPr>
                <w:rFonts w:hint="eastAsia"/>
              </w:rPr>
              <w:t xml:space="preserve">合理性一般，培训形式单一，可操作性一般的</w:t>
            </w:r>
            <w:r>
              <w:rPr>
                <w:rFonts w:hint="eastAsia"/>
                <w:b/>
                <w:bCs/>
              </w:rPr>
              <w:t xml:space="preserve">得2分</w:t>
            </w:r>
            <w:r>
              <w:rPr>
                <w:rFonts w:hint="eastAsia"/>
              </w:rPr>
              <w:t xml:space="preserve">。</w:t>
            </w:r>
            <w:r/>
          </w:p>
          <w:p>
            <w:pPr>
              <w:rPr>
                <w:rFonts w:hint="eastAsia" w:ascii="宋体" w:hAnsi="宋体"/>
                <w:color w:val="000000"/>
                <w:szCs w:val="21"/>
              </w:rPr>
            </w:pPr>
            <w:r>
              <w:rPr>
                <w:rFonts w:hint="eastAsia"/>
                <w:b/>
                <w:bCs/>
              </w:rPr>
              <w:t xml:space="preserve">该项未见阐述不得分。</w:t>
            </w:r>
            <w:r/>
          </w:p>
        </w:tc>
      </w:tr>
    </w:tbl>
    <w:p>
      <w:pPr>
        <w:jc w:val="left"/>
        <w:spacing w:line="500" w:lineRule="exact"/>
        <w:rPr>
          <w:rFonts w:hint="eastAsia"/>
          <w:sz w:val="24"/>
          <w:szCs w:val="24"/>
        </w:rPr>
      </w:pPr>
      <w:r>
        <w:rPr>
          <w:rFonts w:hint="eastAsia"/>
          <w:sz w:val="24"/>
          <w:szCs w:val="24"/>
        </w:rPr>
        <w:t xml:space="preserve">（2）商务分（22分）</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评审因素</w:t>
            </w:r>
            <w:r/>
          </w:p>
        </w:tc>
        <w:tc>
          <w:tcPr>
            <w:tcW w:w="684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rPr>
            </w:pPr>
            <w:r>
              <w:rPr>
                <w:rFonts w:hint="eastAsia" w:ascii="黑体" w:hAnsi="黑体" w:eastAsia="黑体"/>
                <w:color w:val="000000"/>
              </w:rPr>
              <w:t xml:space="preserve">评审标准</w:t>
            </w:r>
            <w:r/>
          </w:p>
        </w:tc>
      </w:tr>
      <w:tr>
        <w:trPr>
          <w:jc w:val="center"/>
          <w:trHeight w:val="621"/>
        </w:trPr>
        <w:tc>
          <w:tcPr>
            <w:tcW w:w="1660" w:type="dxa"/>
            <w:vAlign w:val="center"/>
            <w:textDirection w:val="lrTb"/>
            <w:noWrap w:val="false"/>
          </w:tcPr>
          <w:p>
            <w:pPr>
              <w:jc w:val="center"/>
              <w:spacing w:line="276" w:lineRule="auto"/>
              <w:widowControl/>
              <w:rPr>
                <w:rFonts w:ascii="宋体" w:hAnsi="宋体"/>
              </w:rPr>
            </w:pPr>
            <w:r>
              <w:rPr>
                <w:rFonts w:hint="eastAsia" w:ascii="宋体" w:hAnsi="宋体"/>
              </w:rPr>
              <w:t xml:space="preserve">项目实施保障</w:t>
            </w:r>
            <w:r/>
          </w:p>
          <w:p>
            <w:pPr>
              <w:jc w:val="center"/>
              <w:spacing w:line="276" w:lineRule="auto"/>
              <w:widowControl/>
              <w:rPr>
                <w:rFonts w:hint="eastAsia" w:ascii="宋体" w:hAnsi="宋体"/>
              </w:rPr>
            </w:pPr>
            <w:r>
              <w:rPr>
                <w:rFonts w:hint="eastAsia" w:ascii="宋体" w:hAnsi="宋体"/>
              </w:rPr>
              <w:t xml:space="preserve">（6分）</w:t>
            </w:r>
            <w:r/>
          </w:p>
        </w:tc>
        <w:tc>
          <w:tcPr>
            <w:tcW w:w="6845" w:type="dxa"/>
            <w:vAlign w:val="center"/>
            <w:textDirection w:val="lrTb"/>
            <w:noWrap w:val="false"/>
          </w:tcPr>
          <w:p>
            <w:pPr>
              <w:spacing w:line="320" w:lineRule="exact"/>
              <w:rPr>
                <w:rFonts w:hint="eastAsia"/>
              </w:rPr>
            </w:pPr>
            <w:r>
              <w:rPr>
                <w:rFonts w:hint="eastAsia"/>
              </w:rPr>
              <w:t xml:space="preserve">1、投标人具有质量管理体系认证证书的得2分；</w:t>
            </w:r>
            <w:r/>
          </w:p>
          <w:p>
            <w:pPr>
              <w:spacing w:line="320" w:lineRule="exact"/>
              <w:rPr>
                <w:rFonts w:hint="eastAsia"/>
              </w:rPr>
            </w:pPr>
            <w:r>
              <w:rPr>
                <w:rFonts w:hint="eastAsia"/>
              </w:rPr>
              <w:t xml:space="preserve">2、投标人具有信息技术服务管理体系认证证书的得2分；</w:t>
            </w:r>
            <w:r/>
          </w:p>
          <w:p>
            <w:pPr>
              <w:spacing w:line="320" w:lineRule="exact"/>
              <w:rPr>
                <w:rFonts w:hint="eastAsia"/>
              </w:rPr>
            </w:pPr>
            <w:r>
              <w:rPr>
                <w:rFonts w:hint="eastAsia"/>
              </w:rPr>
              <w:t xml:space="preserve">3、投标人具有售后服务相关认证证书的得2分。</w:t>
            </w:r>
            <w:r/>
          </w:p>
          <w:p>
            <w:pPr>
              <w:spacing w:line="276" w:lineRule="auto"/>
            </w:pPr>
            <w:r>
              <w:rPr>
                <w:rFonts w:hint="eastAsia" w:ascii="宋体" w:hAnsi="宋体"/>
                <w:b/>
                <w:bCs/>
                <w:color w:val="000000"/>
                <w:szCs w:val="21"/>
              </w:rPr>
              <w:t xml:space="preserve">注：</w:t>
            </w:r>
            <w:r>
              <w:rPr>
                <w:rFonts w:hint="eastAsia" w:ascii="宋体" w:hAnsi="宋体"/>
                <w:b/>
                <w:bCs/>
                <w:color w:val="000000"/>
                <w:szCs w:val="21"/>
                <w:lang w:val="en-US" w:eastAsia="zh-CN"/>
              </w:rPr>
              <w:t xml:space="preserve">上述1-3项</w:t>
            </w:r>
            <w:r>
              <w:rPr>
                <w:rFonts w:hint="eastAsia" w:ascii="宋体" w:hAnsi="宋体"/>
                <w:b/>
                <w:bCs/>
                <w:color w:val="000000"/>
                <w:szCs w:val="21"/>
              </w:rPr>
              <w:t xml:space="preserve">投标文件中提供有效证书电子件或复印件或扫描件并加盖投标人公章，否则不得分。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Cs w:val="21"/>
                <w:lang w:val="en-US" w:eastAsia="zh-CN"/>
              </w:rPr>
            </w:pPr>
            <w:r>
              <w:rPr>
                <w:rFonts w:hint="eastAsia" w:ascii="宋体" w:hAnsi="宋体"/>
                <w:color w:val="000000"/>
                <w:szCs w:val="21"/>
                <w:lang w:val="en-US" w:eastAsia="zh-CN"/>
              </w:rPr>
              <w:t xml:space="preserve">项目组成员</w:t>
            </w:r>
            <w:r/>
          </w:p>
          <w:p>
            <w:pPr>
              <w:jc w:val="center"/>
              <w:spacing w:line="276" w:lineRule="auto"/>
              <w:rPr>
                <w:rFonts w:hint="eastAsia" w:ascii="宋体" w:hAnsi="宋体"/>
              </w:rPr>
            </w:pPr>
            <w:r>
              <w:rPr>
                <w:rFonts w:hint="eastAsia" w:ascii="宋体" w:hAnsi="宋体"/>
              </w:rPr>
              <w:t xml:space="preserve">（7分）</w:t>
            </w:r>
            <w:r/>
          </w:p>
        </w:tc>
        <w:tc>
          <w:tcPr>
            <w:tcW w:w="6845" w:type="dxa"/>
            <w:vAlign w:val="center"/>
            <w:textDirection w:val="lrTb"/>
            <w:noWrap w:val="false"/>
          </w:tcPr>
          <w:p>
            <w:pPr>
              <w:rPr>
                <w:rFonts w:hint="eastAsia" w:ascii="宋体" w:hAnsi="宋体"/>
                <w:b/>
                <w:color w:val="000000"/>
                <w:szCs w:val="21"/>
              </w:rPr>
            </w:pPr>
            <w:r>
              <w:rPr>
                <w:rFonts w:hint="eastAsia" w:ascii="宋体" w:hAnsi="宋体"/>
                <w:color w:val="000000"/>
                <w:szCs w:val="21"/>
              </w:rPr>
              <w:t xml:space="preserve">1.投标人拟派项目负责人具有信息系统项目管理师、网络工程师和系统分析师证书的，每提供一个证书得1分，</w:t>
            </w:r>
            <w:r>
              <w:rPr>
                <w:rFonts w:hint="eastAsia" w:ascii="宋体" w:hAnsi="宋体"/>
                <w:b w:val="0"/>
                <w:bCs w:val="0"/>
                <w:color w:val="000000"/>
                <w:szCs w:val="21"/>
              </w:rPr>
              <w:t xml:space="preserve">本项最高得3分；</w:t>
            </w:r>
            <w:r/>
          </w:p>
          <w:p>
            <w:pPr>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2.投标人拟派项目</w:t>
            </w:r>
            <w:r>
              <w:rPr>
                <w:rFonts w:hint="eastAsia" w:ascii="宋体" w:hAnsi="宋体"/>
                <w:color w:val="000000"/>
                <w:szCs w:val="21"/>
                <w:lang w:val="en-US" w:eastAsia="zh-CN"/>
              </w:rPr>
              <w:t xml:space="preserve">组</w:t>
            </w:r>
            <w:r>
              <w:rPr>
                <w:rFonts w:hint="eastAsia" w:ascii="宋体" w:hAnsi="宋体"/>
                <w:color w:val="000000"/>
                <w:szCs w:val="21"/>
              </w:rPr>
              <w:t xml:space="preserve">成员（不包含项目负责人）中具有网络工程师、IT服务工程师、软件设计师、系统集成项目管理工程师的，每提供一</w:t>
            </w:r>
            <w:r>
              <w:rPr>
                <w:rFonts w:hint="eastAsia" w:ascii="宋体" w:hAnsi="宋体"/>
                <w:color w:val="000000"/>
                <w:szCs w:val="21"/>
                <w:lang w:val="en-US" w:eastAsia="zh-CN"/>
              </w:rPr>
              <w:t xml:space="preserve">类</w:t>
            </w:r>
            <w:r>
              <w:rPr>
                <w:rFonts w:hint="eastAsia" w:ascii="宋体" w:hAnsi="宋体"/>
                <w:color w:val="000000"/>
                <w:szCs w:val="21"/>
              </w:rPr>
              <w:t xml:space="preserve">证书得1分，</w:t>
            </w:r>
            <w:r>
              <w:rPr>
                <w:rFonts w:ascii="宋体" w:hAnsi="宋体" w:cs="宋体"/>
                <w:b w:val="0"/>
                <w:bCs/>
                <w:color w:val="000000"/>
                <w:szCs w:val="21"/>
              </w:rPr>
              <w:t xml:space="preserve">一人多证不重复得分，</w:t>
            </w:r>
            <w:r>
              <w:rPr>
                <w:rFonts w:hint="eastAsia" w:ascii="宋体" w:hAnsi="宋体" w:cs="宋体"/>
                <w:b w:val="0"/>
                <w:bCs/>
                <w:color w:val="000000"/>
                <w:szCs w:val="21"/>
              </w:rPr>
              <w:t xml:space="preserve">本项</w:t>
            </w:r>
            <w:r>
              <w:rPr>
                <w:rFonts w:hint="eastAsia" w:ascii="宋体" w:hAnsi="宋体"/>
                <w:b w:val="0"/>
                <w:bCs/>
                <w:color w:val="000000"/>
                <w:szCs w:val="21"/>
              </w:rPr>
              <w:t xml:space="preserve">最高得4分。</w:t>
            </w:r>
            <w:r/>
          </w:p>
          <w:p>
            <w:pPr>
              <w:spacing w:line="276" w:lineRule="auto"/>
              <w:rPr>
                <w:rFonts w:hint="eastAsia" w:ascii="宋体" w:hAnsi="宋体"/>
              </w:rPr>
            </w:pPr>
            <w:r>
              <w:rPr>
                <w:rFonts w:hint="eastAsia" w:ascii="宋体" w:hAnsi="宋体"/>
                <w:b/>
                <w:bCs/>
                <w:color w:val="000000"/>
                <w:szCs w:val="21"/>
              </w:rPr>
              <w:t xml:space="preserve">注：上述1-2项投标文件中提供有效证书及2024年10月（含）以来任意一个月由投标人为其缴纳的社保证明材料的扫描件或复印件并加盖投标人公章，否则不得分。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lang w:val="en-US" w:eastAsia="zh-CN"/>
              </w:rPr>
              <w:t xml:space="preserve">类似</w:t>
            </w:r>
            <w:r>
              <w:rPr>
                <w:rFonts w:hint="eastAsia" w:ascii="宋体" w:hAnsi="宋体"/>
                <w:color w:val="000000"/>
                <w:szCs w:val="21"/>
              </w:rPr>
              <w:t xml:space="preserve">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000000"/>
                <w:szCs w:val="21"/>
              </w:rPr>
            </w:pPr>
            <w:r>
              <w:rPr>
                <w:rFonts w:hint="eastAsia" w:ascii="宋体" w:hAnsi="宋体"/>
                <w:color w:val="000000"/>
                <w:szCs w:val="21"/>
              </w:rPr>
              <w:t xml:space="preserve">（9分）</w:t>
            </w:r>
            <w:r/>
          </w:p>
        </w:tc>
        <w:tc>
          <w:tcPr>
            <w:tcW w:w="6845" w:type="dxa"/>
            <w:vAlign w:val="center"/>
            <w:textDirection w:val="lrTb"/>
            <w:noWrap w:val="false"/>
          </w:tcPr>
          <w:p>
            <w:pPr>
              <w:rPr>
                <w:rFonts w:ascii="宋体" w:hAnsi="宋体"/>
                <w:szCs w:val="21"/>
              </w:rPr>
            </w:pPr>
            <w:r>
              <w:rPr>
                <w:rFonts w:ascii="宋体" w:hAnsi="宋体"/>
                <w:szCs w:val="21"/>
              </w:rPr>
              <w:t xml:space="preserve">投标人自2022年1月1日（含）以来（以合同签订时间为准）具有类似项目业绩的，每有一个得</w:t>
            </w:r>
            <w:r>
              <w:rPr>
                <w:rFonts w:hint="eastAsia" w:ascii="宋体" w:hAnsi="宋体"/>
                <w:szCs w:val="21"/>
              </w:rPr>
              <w:t xml:space="preserve">3</w:t>
            </w:r>
            <w:r>
              <w:rPr>
                <w:rFonts w:ascii="宋体" w:hAnsi="宋体"/>
                <w:szCs w:val="21"/>
              </w:rPr>
              <w:t xml:space="preserve">分，</w:t>
            </w:r>
            <w:r>
              <w:rPr>
                <w:rFonts w:hint="eastAsia" w:ascii="宋体" w:hAnsi="宋体"/>
                <w:b w:val="0"/>
                <w:bCs/>
                <w:color w:val="000000"/>
                <w:szCs w:val="21"/>
              </w:rPr>
              <w:t xml:space="preserve">最高</w:t>
            </w:r>
            <w:r>
              <w:rPr>
                <w:rFonts w:ascii="宋体" w:hAnsi="宋体"/>
                <w:b w:val="0"/>
                <w:bCs/>
                <w:szCs w:val="21"/>
              </w:rPr>
              <w:t xml:space="preserve">得</w:t>
            </w:r>
            <w:r>
              <w:rPr>
                <w:rFonts w:hint="eastAsia" w:ascii="宋体" w:hAnsi="宋体"/>
                <w:b w:val="0"/>
                <w:bCs/>
                <w:szCs w:val="21"/>
              </w:rPr>
              <w:t xml:space="preserve">9</w:t>
            </w:r>
            <w:r>
              <w:rPr>
                <w:rFonts w:ascii="宋体" w:hAnsi="宋体"/>
                <w:b w:val="0"/>
                <w:bCs/>
                <w:szCs w:val="21"/>
              </w:rPr>
              <w:t xml:space="preserve">分</w:t>
            </w:r>
            <w:r>
              <w:rPr>
                <w:rFonts w:ascii="宋体" w:hAnsi="宋体"/>
                <w:szCs w:val="21"/>
              </w:rPr>
              <w:t xml:space="preserve">。</w:t>
            </w:r>
            <w:r/>
          </w:p>
          <w:p>
            <w:pPr>
              <w:rPr>
                <w:rFonts w:hint="eastAsia" w:ascii="宋体" w:hAnsi="宋体"/>
                <w:szCs w:val="21"/>
              </w:rPr>
            </w:pPr>
            <w:r>
              <w:rPr>
                <w:rFonts w:ascii="宋体" w:hAnsi="宋体"/>
                <w:b/>
                <w:bCs/>
                <w:szCs w:val="21"/>
              </w:rPr>
              <w:t xml:space="preserve">注：投标文件中提供合同扫描件或复印件并加盖投标人公章，否则不得分；时间、标的内容以合同为准；合同须体现合同主要内容、标的等，未提供或提供不满足要求的不得分。</w:t>
            </w:r>
            <w:r/>
          </w:p>
        </w:tc>
      </w:tr>
    </w:tbl>
    <w:p>
      <w:pPr>
        <w:jc w:val="left"/>
        <w:widowControl/>
        <w:rPr>
          <w:sz w:val="24"/>
          <w:szCs w:val="24"/>
        </w:rPr>
      </w:pPr>
      <w:r>
        <w:rPr>
          <w:sz w:val="24"/>
          <w:szCs w:val="24"/>
        </w:rPr>
        <w:br w:type="page" w:clear="all"/>
      </w:r>
      <w:r/>
    </w:p>
    <w:p>
      <w:pPr>
        <w:pStyle w:val="843"/>
        <w:jc w:val="center"/>
        <w:spacing w:before="156" w:after="156" w:line="360" w:lineRule="auto"/>
        <w:rPr>
          <w:rFonts w:ascii="黑体" w:hAnsi="黑体" w:eastAsia="黑体"/>
          <w:b w:val="0"/>
        </w:rPr>
      </w:pPr>
      <w:r/>
      <w:bookmarkStart w:id="26" w:name="_Toc165205799"/>
      <w:r>
        <w:rPr>
          <w:rFonts w:hint="eastAsia" w:ascii="黑体" w:hAnsi="黑体" w:eastAsia="黑体"/>
          <w:b w:val="0"/>
        </w:rPr>
        <w:t xml:space="preserve">第六章  投标文件格式</w:t>
      </w:r>
      <w:bookmarkEnd w:id="26"/>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49"/>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十三、投标分项报价表（分包号：**）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794"/>
        <w:gridCol w:w="701"/>
        <w:gridCol w:w="606"/>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27" w:name="_Hlt26955054"/>
      <w:r/>
      <w:bookmarkEnd w:id="27"/>
      <w:r>
        <w:rPr>
          <w:rFonts w:hint="eastAsia" w:ascii="Arial" w:hAnsi="Arial" w:cs="Arial"/>
          <w:i/>
          <w:iCs/>
          <w:sz w:val="36"/>
          <w:u w:val="single"/>
        </w:rPr>
        <w:t xml:space="preserve">十五、商务要求响应及偏离表（分包号：**）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28" w:name="_Hlt26955064"/>
            <w:r/>
            <w:bookmarkEnd w:id="28"/>
            <w:r/>
            <w:bookmarkStart w:id="29" w:name="_Hlt26671372"/>
            <w:r/>
            <w:bookmarkEnd w:id="29"/>
            <w:r/>
            <w:bookmarkStart w:id="30" w:name="_Hlt26671343"/>
            <w:r/>
            <w:bookmarkEnd w:id="30"/>
            <w:r/>
            <w:bookmarkStart w:id="31" w:name="_Hlt26782999"/>
            <w:r/>
            <w:bookmarkEnd w:id="31"/>
            <w:r/>
            <w:bookmarkStart w:id="32" w:name="_Hlt26580838"/>
            <w:r/>
            <w:bookmarkEnd w:id="32"/>
            <w:r/>
            <w:bookmarkStart w:id="33" w:name="_Hlt24879081"/>
            <w:r/>
            <w:bookmarkEnd w:id="33"/>
            <w:r/>
            <w:bookmarkStart w:id="34" w:name="_Hlt26955056"/>
            <w:r/>
            <w:bookmarkEnd w:id="34"/>
            <w:r/>
            <w:bookmarkStart w:id="35" w:name="_Hlt26609391"/>
            <w:r/>
            <w:bookmarkEnd w:id="3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36" w:name="_Hlt26955066"/>
      <w:r/>
      <w:bookmarkEnd w:id="36"/>
      <w:r/>
      <w:bookmarkStart w:id="37" w:name="_Hlt26609389"/>
      <w:r/>
      <w:bookmarkEnd w:id="37"/>
      <w:r/>
      <w:bookmarkStart w:id="38" w:name="_格式2__法定代表人授权书"/>
      <w:r/>
      <w:bookmarkEnd w:id="38"/>
      <w:r/>
      <w:bookmarkStart w:id="39" w:name="_Hlt26671374"/>
      <w:r/>
      <w:bookmarkEnd w:id="39"/>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十六、类似项目业绩一览表（分包号：**）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十八、开标一览表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vAlign w:val="top"/>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vAlign w:val="top"/>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
        <w:rPr>
          <w:rFonts w:ascii="黑体" w:hAnsi="黑体" w:eastAsia="黑体" w:cs="仿宋"/>
          <w:bCs/>
          <w:color w:val="000000"/>
          <w:sz w:val="40"/>
          <w:szCs w:val="32"/>
        </w:rPr>
        <w:br w:type="page" w:clear="all"/>
      </w:r>
      <w:r/>
      <w:r>
        <w:rPr>
          <w:rFonts w:ascii="Times New Roman" w:hAnsi="Times New Roman"/>
          <w:color w:val="000000"/>
          <w:sz w:val="24"/>
          <w:szCs w:val="24"/>
        </w:rP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000000" w:themeColor="text1"/>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w:panose1 w:val="020B0502040204020203"/>
  </w:font>
  <w:font w:name="Helvetica">
    <w:panose1 w:val="020B0604020202020204"/>
  </w:font>
  <w:font w:name="汉仪书宋二S">
    <w:panose1 w:val="020B0503020202020204"/>
  </w:font>
  <w:font w:name="仿宋">
    <w:panose1 w:val="02010609060101010101"/>
  </w:font>
  <w:font w:name="Symbol">
    <w:panose1 w:val="05050102010706020507"/>
  </w:font>
  <w:font w:name="MS Mincho">
    <w:panose1 w:val="020206030504050903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pPr>
      <w:rPr>
        <w:b w:val="0"/>
        <w:bCs w:val="0"/>
        <w:color w:val="00000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
    <w:multiLevelType w:val="hybridMultilevel"/>
    <w:lvl w:ilvl="0">
      <w:start w:val="1"/>
      <w:numFmt w:val="decimal"/>
      <w:isLgl w:val="false"/>
      <w:suff w:val="nothing"/>
      <w:lvlText w:val="%1."/>
      <w:lvlJc w:val="left"/>
      <w:pPr>
        <w:ind w:left="0" w:firstLine="0"/>
      </w:pPr>
      <w:rPr>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0"/>
      <w:isLgl w:val="false"/>
      <w:suff w:val="nothing"/>
      <w:lvlText w:val="%1."/>
      <w:lvlJc w:val="left"/>
      <w:pPr>
        <w:ind w:left="420" w:hanging="420"/>
      </w:pPr>
      <w:rPr>
        <w:rFonts w:hint="eastAsia"/>
        <w:color w:val="00000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5">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bullet"/>
      <w:pStyle w:val="888"/>
      <w:isLgl w:val="false"/>
      <w:suff w:val="tab"/>
      <w:lvlText w:val=""/>
      <w:lvlJc w:val="left"/>
      <w:pPr>
        <w:ind w:left="440" w:hanging="440"/>
      </w:pPr>
      <w:rPr>
        <w:rFonts w:ascii="Wingdings" w:hAnsi="Wingdings" w:eastAsia="宋体"/>
        <w:color w:val="000000"/>
      </w:rPr>
    </w:lvl>
    <w:lvl w:ilvl="1">
      <w:start w:val="1"/>
      <w:numFmt w:val="bullet"/>
      <w:isLgl w:val="false"/>
      <w:suff w:val="tab"/>
      <w:lvlText w:val=""/>
      <w:lvlJc w:val="left"/>
      <w:pPr>
        <w:ind w:left="880" w:hanging="440"/>
      </w:pPr>
      <w:rPr>
        <w:rFonts w:ascii="Wingdings" w:hAnsi="Wingdings"/>
      </w:rPr>
    </w:lvl>
    <w:lvl w:ilvl="2">
      <w:start w:val="1"/>
      <w:numFmt w:val="bullet"/>
      <w:isLgl w:val="false"/>
      <w:suff w:val="tab"/>
      <w:lvlText w:val=""/>
      <w:lvlJc w:val="left"/>
      <w:pPr>
        <w:ind w:left="1320" w:hanging="440"/>
      </w:pPr>
      <w:rPr>
        <w:rFonts w:ascii="Wingdings" w:hAnsi="Wingdings"/>
      </w:rPr>
    </w:lvl>
    <w:lvl w:ilvl="3">
      <w:start w:val="1"/>
      <w:numFmt w:val="bullet"/>
      <w:isLgl w:val="false"/>
      <w:suff w:val="tab"/>
      <w:lvlText w:val=""/>
      <w:lvlJc w:val="left"/>
      <w:pPr>
        <w:ind w:left="1760" w:hanging="440"/>
      </w:pPr>
      <w:rPr>
        <w:rFonts w:ascii="Wingdings" w:hAnsi="Wingdings"/>
      </w:rPr>
    </w:lvl>
    <w:lvl w:ilvl="4">
      <w:start w:val="1"/>
      <w:numFmt w:val="bullet"/>
      <w:isLgl w:val="false"/>
      <w:suff w:val="tab"/>
      <w:lvlText w:val=""/>
      <w:lvlJc w:val="left"/>
      <w:pPr>
        <w:ind w:left="2200" w:hanging="440"/>
      </w:pPr>
      <w:rPr>
        <w:rFonts w:ascii="Wingdings" w:hAnsi="Wingdings"/>
      </w:rPr>
    </w:lvl>
    <w:lvl w:ilvl="5">
      <w:start w:val="1"/>
      <w:numFmt w:val="bullet"/>
      <w:isLgl w:val="false"/>
      <w:suff w:val="tab"/>
      <w:lvlText w:val=""/>
      <w:lvlJc w:val="left"/>
      <w:pPr>
        <w:ind w:left="2640" w:hanging="440"/>
      </w:pPr>
      <w:rPr>
        <w:rFonts w:ascii="Wingdings" w:hAnsi="Wingdings"/>
      </w:rPr>
    </w:lvl>
    <w:lvl w:ilvl="6">
      <w:start w:val="1"/>
      <w:numFmt w:val="bullet"/>
      <w:isLgl w:val="false"/>
      <w:suff w:val="tab"/>
      <w:lvlText w:val=""/>
      <w:lvlJc w:val="left"/>
      <w:pPr>
        <w:ind w:left="3080" w:hanging="440"/>
      </w:pPr>
      <w:rPr>
        <w:rFonts w:ascii="Wingdings" w:hAnsi="Wingdings"/>
      </w:rPr>
    </w:lvl>
    <w:lvl w:ilvl="7">
      <w:start w:val="1"/>
      <w:numFmt w:val="bullet"/>
      <w:isLgl w:val="false"/>
      <w:suff w:val="tab"/>
      <w:lvlText w:val=""/>
      <w:lvlJc w:val="left"/>
      <w:pPr>
        <w:ind w:left="3520" w:hanging="440"/>
      </w:pPr>
      <w:rPr>
        <w:rFonts w:ascii="Wingdings" w:hAnsi="Wingdings"/>
      </w:rPr>
    </w:lvl>
    <w:lvl w:ilvl="8">
      <w:start w:val="1"/>
      <w:numFmt w:val="bullet"/>
      <w:isLgl w:val="false"/>
      <w:suff w:val="tab"/>
      <w:lvlText w:val=""/>
      <w:lvlJc w:val="left"/>
      <w:pPr>
        <w:ind w:left="3960" w:hanging="440"/>
      </w:pPr>
      <w:rPr>
        <w:rFonts w:ascii="Wingdings" w:hAnsi="Wingdings"/>
      </w:rPr>
    </w:lvl>
  </w:abstractNum>
  <w:abstractNum w:abstractNumId="7">
    <w:multiLevelType w:val="hybridMultilevel"/>
    <w:lvl w:ilvl="0">
      <w:start w:val="1"/>
      <w:numFmt w:val="decimal"/>
      <w:isLgl w:val="false"/>
      <w:suff w:val="nothing"/>
      <w:lvlText w:val="%1."/>
      <w:lvlJc w:val="left"/>
      <w:pPr>
        <w:ind w:left="420" w:hanging="420"/>
      </w:pPr>
      <w:rPr>
        <w:rFonts w:hint="eastAsia"/>
        <w:color w:val="00000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8">
    <w:multiLevelType w:val="hybridMultilevel"/>
    <w:lvl w:ilvl="0">
      <w:start w:val="1"/>
      <w:numFmt w:val="chineseCountingThousand"/>
      <w:isLgl w:val="false"/>
      <w:suff w:val="tab"/>
      <w:lvlText w:val="%1、"/>
      <w:lvlJc w:val="left"/>
      <w:pPr>
        <w:ind w:left="440" w:hanging="440"/>
      </w:pPr>
      <w:rPr>
        <w:rFonts w:hint="eastAsia"/>
      </w:rPr>
    </w:lvl>
    <w:lvl w:ilvl="1">
      <w:start w:val="1"/>
      <w:numFmt w:val="decimal"/>
      <w:isLgl w:val="false"/>
      <w:suff w:val="space"/>
      <w:lvlText w:val="2.%2"/>
      <w:lvlJc w:val="left"/>
      <w:pPr>
        <w:ind w:left="92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9">
    <w:multiLevelType w:val="hybridMultilevel"/>
    <w:lvl w:ilvl="0">
      <w:start w:val="1"/>
      <w:numFmt w:val="decimal"/>
      <w:isLgl w:val="false"/>
      <w:suff w:val="nothing"/>
      <w:lvlText w:val="%1."/>
      <w:lvlJc w:val="left"/>
      <w:pPr>
        <w:ind w:left="360" w:hanging="360"/>
      </w:pPr>
      <w:rPr>
        <w:rFonts w:ascii="宋体" w:hAnsi="宋体" w:eastAsia="宋体"/>
        <w:b w:val="0"/>
        <w:bCs w:val="0"/>
        <w:color w:val="00000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space"/>
      <w:lvlText w:val="%1.%2"/>
      <w:lvlJc w:val="left"/>
      <w:pPr>
        <w:ind w:left="0" w:firstLine="0"/>
      </w:pPr>
      <w:rPr>
        <w:rFonts w:ascii="Times New Roman" w:hAnsi="Times New Roman"/>
        <w:b/>
        <w:i w:val="0"/>
        <w:sz w:val="28"/>
      </w:rPr>
    </w:lvl>
    <w:lvl w:ilvl="2">
      <w:start w:val="1"/>
      <w:numFmt w:val="decimal"/>
      <w:isLgl w:val="false"/>
      <w:suff w:val="space"/>
      <w:lvlText w:val="%1.%2.%3"/>
      <w:lvlJc w:val="left"/>
      <w:pPr>
        <w:ind w:left="0" w:firstLine="40"/>
      </w:pPr>
      <w:rPr>
        <w:rFonts w:ascii="Times New Roman" w:hAnsi="Times New Roman"/>
        <w:b/>
        <w:i w:val="0"/>
        <w:sz w:val="24"/>
      </w:rPr>
    </w:lvl>
    <w:lvl w:ilvl="3">
      <w:start w:val="1"/>
      <w:numFmt w:val="decimal"/>
      <w:pStyle w:val="846"/>
      <w:isLgl w:val="false"/>
      <w:suff w:val="space"/>
      <w:lvlText w:val="%1.%2.%3.%4"/>
      <w:lvlJc w:val="left"/>
      <w:pPr>
        <w:ind w:left="0" w:firstLine="0"/>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5.%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14">
    <w:multiLevelType w:val="hybridMultilevel"/>
    <w:lvl w:ilvl="0">
      <w:start w:val="1"/>
      <w:numFmt w:val="decimal"/>
      <w:isLgl w:val="false"/>
      <w:suff w:val="nothing"/>
      <w:lvlText w:val="%1."/>
      <w:lvlJc w:val="left"/>
      <w:pPr>
        <w:ind w:left="360" w:hanging="360"/>
      </w:pPr>
      <w:rPr>
        <w:rFonts w:ascii="宋体" w:hAnsi="宋体" w:eastAsia="宋体"/>
        <w:b w:val="0"/>
        <w:bCs w:val="0"/>
        <w:color w:val="000000"/>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bullet"/>
      <w:isLgl w:val="false"/>
      <w:suff w:val="nothing"/>
      <w:lvlText w:val=""/>
      <w:lvlJc w:val="left"/>
      <w:pPr>
        <w:ind w:left="440" w:hanging="440"/>
      </w:pPr>
      <w:rPr>
        <w:rFonts w:ascii="Wingdings" w:hAnsi="Wingdings" w:cs="Times New Roman"/>
      </w:rPr>
    </w:lvl>
    <w:lvl w:ilvl="1">
      <w:start w:val="1"/>
      <w:numFmt w:val="bullet"/>
      <w:isLgl w:val="false"/>
      <w:suff w:val="tab"/>
      <w:lvlText w:val=""/>
      <w:lvlJc w:val="left"/>
      <w:pPr>
        <w:ind w:left="880" w:hanging="440"/>
      </w:pPr>
      <w:rPr>
        <w:rFonts w:ascii="Wingdings" w:hAnsi="Wingdings"/>
      </w:rPr>
    </w:lvl>
    <w:lvl w:ilvl="2">
      <w:start w:val="1"/>
      <w:numFmt w:val="bullet"/>
      <w:isLgl w:val="false"/>
      <w:suff w:val="tab"/>
      <w:lvlText w:val=""/>
      <w:lvlJc w:val="left"/>
      <w:pPr>
        <w:ind w:left="1320" w:hanging="440"/>
      </w:pPr>
      <w:rPr>
        <w:rFonts w:ascii="Wingdings" w:hAnsi="Wingdings"/>
      </w:rPr>
    </w:lvl>
    <w:lvl w:ilvl="3">
      <w:start w:val="1"/>
      <w:numFmt w:val="bullet"/>
      <w:isLgl w:val="false"/>
      <w:suff w:val="tab"/>
      <w:lvlText w:val=""/>
      <w:lvlJc w:val="left"/>
      <w:pPr>
        <w:ind w:left="1760" w:hanging="440"/>
      </w:pPr>
      <w:rPr>
        <w:rFonts w:ascii="Wingdings" w:hAnsi="Wingdings"/>
      </w:rPr>
    </w:lvl>
    <w:lvl w:ilvl="4">
      <w:start w:val="1"/>
      <w:numFmt w:val="bullet"/>
      <w:isLgl w:val="false"/>
      <w:suff w:val="tab"/>
      <w:lvlText w:val=""/>
      <w:lvlJc w:val="left"/>
      <w:pPr>
        <w:ind w:left="2200" w:hanging="440"/>
      </w:pPr>
      <w:rPr>
        <w:rFonts w:ascii="Wingdings" w:hAnsi="Wingdings"/>
      </w:rPr>
    </w:lvl>
    <w:lvl w:ilvl="5">
      <w:start w:val="1"/>
      <w:numFmt w:val="bullet"/>
      <w:isLgl w:val="false"/>
      <w:suff w:val="tab"/>
      <w:lvlText w:val=""/>
      <w:lvlJc w:val="left"/>
      <w:pPr>
        <w:ind w:left="2640" w:hanging="440"/>
      </w:pPr>
      <w:rPr>
        <w:rFonts w:ascii="Wingdings" w:hAnsi="Wingdings"/>
      </w:rPr>
    </w:lvl>
    <w:lvl w:ilvl="6">
      <w:start w:val="1"/>
      <w:numFmt w:val="bullet"/>
      <w:isLgl w:val="false"/>
      <w:suff w:val="tab"/>
      <w:lvlText w:val=""/>
      <w:lvlJc w:val="left"/>
      <w:pPr>
        <w:ind w:left="3080" w:hanging="440"/>
      </w:pPr>
      <w:rPr>
        <w:rFonts w:ascii="Wingdings" w:hAnsi="Wingdings"/>
      </w:rPr>
    </w:lvl>
    <w:lvl w:ilvl="7">
      <w:start w:val="1"/>
      <w:numFmt w:val="bullet"/>
      <w:isLgl w:val="false"/>
      <w:suff w:val="tab"/>
      <w:lvlText w:val=""/>
      <w:lvlJc w:val="left"/>
      <w:pPr>
        <w:ind w:left="3520" w:hanging="440"/>
      </w:pPr>
      <w:rPr>
        <w:rFonts w:ascii="Wingdings" w:hAnsi="Wingdings"/>
      </w:rPr>
    </w:lvl>
    <w:lvl w:ilvl="8">
      <w:start w:val="1"/>
      <w:numFmt w:val="bullet"/>
      <w:isLgl w:val="false"/>
      <w:suff w:val="tab"/>
      <w:lvlText w:val=""/>
      <w:lvlJc w:val="left"/>
      <w:pPr>
        <w:ind w:left="3960" w:hanging="440"/>
      </w:pPr>
      <w:rPr>
        <w:rFonts w:ascii="Wingdings" w:hAnsi="Wingdings"/>
      </w:rPr>
    </w:lvl>
  </w:abstractNum>
  <w:abstractNum w:abstractNumId="18">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bullet"/>
      <w:pStyle w:val="889"/>
      <w:isLgl w:val="false"/>
      <w:suff w:val="tab"/>
      <w:lvlText w:val=""/>
      <w:lvlJc w:val="left"/>
      <w:pPr>
        <w:ind w:left="440" w:hanging="440"/>
      </w:pPr>
      <w:rPr>
        <w:rFonts w:ascii="Wingdings" w:hAnsi="Wingdings" w:eastAsia="宋体"/>
        <w:color w:val="000000"/>
      </w:rPr>
    </w:lvl>
    <w:lvl w:ilvl="1">
      <w:start w:val="1"/>
      <w:numFmt w:val="bullet"/>
      <w:isLgl w:val="false"/>
      <w:suff w:val="tab"/>
      <w:lvlText w:val=""/>
      <w:lvlJc w:val="left"/>
      <w:pPr>
        <w:ind w:left="880" w:hanging="440"/>
      </w:pPr>
      <w:rPr>
        <w:rFonts w:ascii="Wingdings" w:hAnsi="Wingdings"/>
      </w:rPr>
    </w:lvl>
    <w:lvl w:ilvl="2">
      <w:start w:val="1"/>
      <w:numFmt w:val="bullet"/>
      <w:isLgl w:val="false"/>
      <w:suff w:val="tab"/>
      <w:lvlText w:val=""/>
      <w:lvlJc w:val="left"/>
      <w:pPr>
        <w:ind w:left="1320" w:hanging="440"/>
      </w:pPr>
      <w:rPr>
        <w:rFonts w:ascii="Wingdings" w:hAnsi="Wingdings"/>
      </w:rPr>
    </w:lvl>
    <w:lvl w:ilvl="3">
      <w:start w:val="1"/>
      <w:numFmt w:val="bullet"/>
      <w:isLgl w:val="false"/>
      <w:suff w:val="tab"/>
      <w:lvlText w:val=""/>
      <w:lvlJc w:val="left"/>
      <w:pPr>
        <w:ind w:left="1760" w:hanging="440"/>
      </w:pPr>
      <w:rPr>
        <w:rFonts w:ascii="Wingdings" w:hAnsi="Wingdings"/>
      </w:rPr>
    </w:lvl>
    <w:lvl w:ilvl="4">
      <w:start w:val="1"/>
      <w:numFmt w:val="bullet"/>
      <w:isLgl w:val="false"/>
      <w:suff w:val="tab"/>
      <w:lvlText w:val=""/>
      <w:lvlJc w:val="left"/>
      <w:pPr>
        <w:ind w:left="2200" w:hanging="440"/>
      </w:pPr>
      <w:rPr>
        <w:rFonts w:ascii="Wingdings" w:hAnsi="Wingdings"/>
      </w:rPr>
    </w:lvl>
    <w:lvl w:ilvl="5">
      <w:start w:val="1"/>
      <w:numFmt w:val="bullet"/>
      <w:isLgl w:val="false"/>
      <w:suff w:val="tab"/>
      <w:lvlText w:val=""/>
      <w:lvlJc w:val="left"/>
      <w:pPr>
        <w:ind w:left="2640" w:hanging="440"/>
      </w:pPr>
      <w:rPr>
        <w:rFonts w:ascii="Wingdings" w:hAnsi="Wingdings"/>
      </w:rPr>
    </w:lvl>
    <w:lvl w:ilvl="6">
      <w:start w:val="1"/>
      <w:numFmt w:val="bullet"/>
      <w:isLgl w:val="false"/>
      <w:suff w:val="tab"/>
      <w:lvlText w:val=""/>
      <w:lvlJc w:val="left"/>
      <w:pPr>
        <w:ind w:left="3080" w:hanging="440"/>
      </w:pPr>
      <w:rPr>
        <w:rFonts w:ascii="Wingdings" w:hAnsi="Wingdings"/>
      </w:rPr>
    </w:lvl>
    <w:lvl w:ilvl="7">
      <w:start w:val="1"/>
      <w:numFmt w:val="bullet"/>
      <w:isLgl w:val="false"/>
      <w:suff w:val="tab"/>
      <w:lvlText w:val=""/>
      <w:lvlJc w:val="left"/>
      <w:pPr>
        <w:ind w:left="3520" w:hanging="440"/>
      </w:pPr>
      <w:rPr>
        <w:rFonts w:ascii="Wingdings" w:hAnsi="Wingdings"/>
      </w:rPr>
    </w:lvl>
    <w:lvl w:ilvl="8">
      <w:start w:val="1"/>
      <w:numFmt w:val="bullet"/>
      <w:isLgl w:val="false"/>
      <w:suff w:val="tab"/>
      <w:lvlText w:val=""/>
      <w:lvlJc w:val="left"/>
      <w:pPr>
        <w:ind w:left="3960" w:hanging="440"/>
      </w:pPr>
      <w:rPr>
        <w:rFonts w:ascii="Wingdings" w:hAnsi="Wingdings"/>
      </w:rPr>
    </w:lvl>
  </w:abstractNum>
  <w:abstractNum w:abstractNumId="20">
    <w:multiLevelType w:val="hybridMultilevel"/>
    <w:lvl w:ilvl="0">
      <w:start w:val="1"/>
      <w:numFmt w:val="decimal"/>
      <w:isLgl w:val="false"/>
      <w:suff w:val="nothing"/>
      <w:lvlText w:val="%1."/>
      <w:lvlJc w:val="left"/>
      <w:pPr>
        <w:ind w:left="425" w:hanging="425"/>
      </w:pPr>
      <w:rPr>
        <w:rFonts w:ascii="宋体" w:hAnsi="宋体" w:eastAsia="宋体"/>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4.%1"/>
      <w:lvlJc w:val="left"/>
      <w:pPr>
        <w:ind w:left="440" w:hanging="440"/>
      </w:pPr>
      <w:rPr>
        <w:color w:val="000000"/>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19"/>
  </w:num>
  <w:num w:numId="4">
    <w:abstractNumId w:val="4"/>
  </w:num>
  <w:num w:numId="5">
    <w:abstractNumId w:val="3"/>
  </w:num>
  <w:num w:numId="6">
    <w:abstractNumId w:val="12"/>
  </w:num>
  <w:num w:numId="7">
    <w:abstractNumId w:val="15"/>
  </w:num>
  <w:num w:numId="8">
    <w:abstractNumId w:val="22"/>
  </w:num>
  <w:num w:numId="9">
    <w:abstractNumId w:val="11"/>
  </w:num>
  <w:num w:numId="10">
    <w:abstractNumId w:val="0"/>
  </w:num>
  <w:num w:numId="11">
    <w:abstractNumId w:val="16"/>
  </w:num>
  <w:num w:numId="12">
    <w:abstractNumId w:val="2"/>
  </w:num>
  <w:num w:numId="13">
    <w:abstractNumId w:val="20"/>
  </w:num>
  <w:num w:numId="14">
    <w:abstractNumId w:val="5"/>
  </w:num>
  <w:num w:numId="15">
    <w:abstractNumId w:val="18"/>
  </w:num>
  <w:num w:numId="16">
    <w:abstractNumId w:val="9"/>
  </w:num>
  <w:num w:numId="17">
    <w:abstractNumId w:val="14"/>
  </w:num>
  <w:num w:numId="18">
    <w:abstractNumId w:val="8"/>
  </w:num>
  <w:num w:numId="19">
    <w:abstractNumId w:val="7"/>
  </w:num>
  <w:num w:numId="20">
    <w:abstractNumId w:val="1"/>
  </w:num>
  <w:num w:numId="21">
    <w:abstractNumId w:val="17"/>
  </w:num>
  <w:num w:numId="22">
    <w:abstractNumId w:val="2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91"/>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link w:val="695"/>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696"/>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697"/>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698"/>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699"/>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0"/>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3"/>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rPr>
  </w:style>
  <w:style w:type="paragraph" w:styleId="676">
    <w:name w:val="toc 5"/>
    <w:basedOn w:val="662"/>
    <w:next w:val="662"/>
    <w:uiPriority w:val="39"/>
    <w:unhideWhenUsed/>
    <w:qFormat/>
    <w:pPr>
      <w:ind w:left="1134" w:right="0" w:firstLine="0"/>
      <w:spacing w:after="57"/>
    </w:pPr>
  </w:style>
  <w:style w:type="paragraph" w:styleId="677">
    <w:name w:val="toc 3"/>
    <w:basedOn w:val="662"/>
    <w:next w:val="662"/>
    <w:uiPriority w:val="39"/>
    <w:unhideWhenUsed/>
    <w:qFormat/>
    <w:pPr>
      <w:ind w:left="567" w:right="0" w:firstLine="0"/>
      <w:spacing w:after="57"/>
    </w:pPr>
  </w:style>
  <w:style w:type="paragraph" w:styleId="678">
    <w:name w:val="toc 8"/>
    <w:basedOn w:val="662"/>
    <w:next w:val="662"/>
    <w:uiPriority w:val="39"/>
    <w:unhideWhenUsed/>
    <w:qFormat/>
    <w:pPr>
      <w:ind w:left="1984" w:right="0" w:firstLine="0"/>
      <w:spacing w:after="57"/>
    </w:pPr>
  </w:style>
  <w:style w:type="paragraph" w:styleId="679">
    <w:name w:val="endnote text"/>
    <w:basedOn w:val="662"/>
    <w:link w:val="841"/>
    <w:uiPriority w:val="99"/>
    <w:semiHidden/>
    <w:unhideWhenUsed/>
    <w:qFormat/>
    <w:pPr>
      <w:spacing w:after="0" w:line="240" w:lineRule="auto"/>
    </w:pPr>
    <w:rPr>
      <w:sz w:val="20"/>
    </w:rPr>
  </w:style>
  <w:style w:type="paragraph" w:styleId="680">
    <w:name w:val="Footer"/>
    <w:basedOn w:val="662"/>
    <w:link w:val="714"/>
    <w:uiPriority w:val="99"/>
    <w:unhideWhenUsed/>
    <w:qFormat/>
    <w:pPr>
      <w:spacing w:after="0" w:line="240" w:lineRule="auto"/>
      <w:tabs>
        <w:tab w:val="center" w:pos="7143" w:leader="none"/>
        <w:tab w:val="right" w:pos="14287" w:leader="none"/>
      </w:tabs>
    </w:pPr>
  </w:style>
  <w:style w:type="paragraph" w:styleId="681">
    <w:name w:val="Header"/>
    <w:basedOn w:val="662"/>
    <w:link w:val="712"/>
    <w:uiPriority w:val="99"/>
    <w:unhideWhenUsed/>
    <w:qFormat/>
    <w:pPr>
      <w:spacing w:after="0" w:line="240" w:lineRule="auto"/>
      <w:tabs>
        <w:tab w:val="center" w:pos="7143" w:leader="none"/>
        <w:tab w:val="right" w:pos="14287" w:leader="none"/>
      </w:tabs>
    </w:pPr>
  </w:style>
  <w:style w:type="paragraph" w:styleId="682">
    <w:name w:val="toc 1"/>
    <w:basedOn w:val="662"/>
    <w:next w:val="662"/>
    <w:uiPriority w:val="39"/>
    <w:unhideWhenUsed/>
    <w:qFormat/>
    <w:pPr>
      <w:ind w:left="0" w:right="0" w:firstLine="0"/>
      <w:spacing w:after="57"/>
    </w:pPr>
  </w:style>
  <w:style w:type="paragraph" w:styleId="683">
    <w:name w:val="toc 4"/>
    <w:basedOn w:val="662"/>
    <w:next w:val="662"/>
    <w:uiPriority w:val="39"/>
    <w:unhideWhenUsed/>
    <w:qFormat/>
    <w:pPr>
      <w:ind w:left="850" w:right="0" w:firstLine="0"/>
      <w:spacing w:after="57"/>
    </w:pPr>
  </w:style>
  <w:style w:type="paragraph" w:styleId="684">
    <w:name w:val="Subtitle"/>
    <w:basedOn w:val="662"/>
    <w:next w:val="662"/>
    <w:link w:val="707"/>
    <w:uiPriority w:val="11"/>
    <w:qFormat/>
    <w:pPr>
      <w:spacing w:before="200" w:after="200"/>
    </w:pPr>
    <w:rPr>
      <w:sz w:val="24"/>
      <w:szCs w:val="24"/>
    </w:rPr>
  </w:style>
  <w:style w:type="paragraph" w:styleId="685">
    <w:name w:val="footnote text"/>
    <w:basedOn w:val="662"/>
    <w:link w:val="840"/>
    <w:uiPriority w:val="99"/>
    <w:semiHidden/>
    <w:unhideWhenUsed/>
    <w:qFormat/>
    <w:pPr>
      <w:spacing w:after="40" w:line="240" w:lineRule="auto"/>
    </w:pPr>
    <w:rPr>
      <w:sz w:val="18"/>
    </w:rPr>
  </w:style>
  <w:style w:type="paragraph" w:styleId="686">
    <w:name w:val="toc 6"/>
    <w:basedOn w:val="662"/>
    <w:next w:val="662"/>
    <w:uiPriority w:val="39"/>
    <w:unhideWhenUsed/>
    <w:qFormat/>
    <w:pPr>
      <w:ind w:left="1417" w:right="0" w:firstLine="0"/>
      <w:spacing w:after="57"/>
    </w:pPr>
  </w:style>
  <w:style w:type="paragraph" w:styleId="687">
    <w:name w:val="table of figures"/>
    <w:basedOn w:val="662"/>
    <w:next w:val="662"/>
    <w:uiPriority w:val="99"/>
    <w:unhideWhenUsed/>
    <w:qFormat/>
    <w:pPr>
      <w:spacing w:after="0" w:afterAutospacing="0"/>
    </w:pPr>
  </w:style>
  <w:style w:type="paragraph" w:styleId="688">
    <w:name w:val="toc 2"/>
    <w:basedOn w:val="662"/>
    <w:next w:val="662"/>
    <w:uiPriority w:val="39"/>
    <w:unhideWhenUsed/>
    <w:qFormat/>
    <w:pPr>
      <w:ind w:left="283" w:right="0" w:firstLine="0"/>
      <w:spacing w:after="57"/>
    </w:pPr>
  </w:style>
  <w:style w:type="paragraph" w:styleId="689">
    <w:name w:val="toc 9"/>
    <w:basedOn w:val="662"/>
    <w:next w:val="662"/>
    <w:uiPriority w:val="39"/>
    <w:unhideWhenUsed/>
    <w:qFormat/>
    <w:pPr>
      <w:ind w:left="2268" w:right="0" w:firstLine="0"/>
      <w:spacing w:after="57"/>
    </w:pPr>
  </w:style>
  <w:style w:type="paragraph" w:styleId="690">
    <w:name w:val="Title"/>
    <w:basedOn w:val="662"/>
    <w:next w:val="662"/>
    <w:link w:val="706"/>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Hyperlink"/>
    <w:uiPriority w:val="99"/>
    <w:unhideWhenUsed/>
    <w:qFormat/>
    <w:rPr>
      <w:color w:val="0000ff" w:themeColor="hyperlink"/>
      <w:u w:val="single"/>
    </w:rPr>
  </w:style>
  <w:style w:type="character" w:styleId="694">
    <w:name w:val="footnote reference"/>
    <w:uiPriority w:val="99"/>
    <w:unhideWhenUsed/>
    <w:qFormat/>
    <w:rPr>
      <w:vertAlign w:val="superscript"/>
    </w:rPr>
  </w:style>
  <w:style w:type="character" w:styleId="695" w:customStyle="1">
    <w:name w:val="Heading 1 Char"/>
    <w:link w:val="663"/>
    <w:uiPriority w:val="9"/>
    <w:rPr>
      <w:rFonts w:ascii="Arial" w:hAnsi="Arial" w:eastAsia="Arial" w:cs="Arial"/>
      <w:sz w:val="40"/>
      <w:szCs w:val="40"/>
    </w:rPr>
  </w:style>
  <w:style w:type="character" w:styleId="696" w:customStyle="1">
    <w:name w:val="Heading 2 Char"/>
    <w:link w:val="664"/>
    <w:uiPriority w:val="9"/>
    <w:qFormat/>
    <w:rPr>
      <w:rFonts w:ascii="Arial" w:hAnsi="Arial" w:eastAsia="Arial" w:cs="Arial"/>
      <w:sz w:val="34"/>
    </w:rPr>
  </w:style>
  <w:style w:type="character" w:styleId="697" w:customStyle="1">
    <w:name w:val="Heading 3 Char"/>
    <w:link w:val="665"/>
    <w:uiPriority w:val="9"/>
    <w:rPr>
      <w:rFonts w:ascii="Arial" w:hAnsi="Arial" w:eastAsia="Arial" w:cs="Arial"/>
      <w:sz w:val="30"/>
      <w:szCs w:val="30"/>
    </w:rPr>
  </w:style>
  <w:style w:type="character" w:styleId="698" w:customStyle="1">
    <w:name w:val="Heading 4 Char"/>
    <w:link w:val="666"/>
    <w:uiPriority w:val="9"/>
    <w:qFormat/>
    <w:rPr>
      <w:rFonts w:ascii="Arial" w:hAnsi="Arial" w:eastAsia="Arial" w:cs="Arial"/>
      <w:b/>
      <w:bCs/>
      <w:sz w:val="26"/>
      <w:szCs w:val="26"/>
    </w:rPr>
  </w:style>
  <w:style w:type="character" w:styleId="699" w:customStyle="1">
    <w:name w:val="Heading 5 Char"/>
    <w:link w:val="667"/>
    <w:uiPriority w:val="9"/>
    <w:qFormat/>
    <w:rPr>
      <w:rFonts w:ascii="Arial" w:hAnsi="Arial" w:eastAsia="Arial" w:cs="Arial"/>
      <w:b/>
      <w:bCs/>
      <w:sz w:val="24"/>
      <w:szCs w:val="24"/>
    </w:rPr>
  </w:style>
  <w:style w:type="character" w:styleId="700" w:customStyle="1">
    <w:name w:val="Heading 6 Char"/>
    <w:link w:val="668"/>
    <w:uiPriority w:val="9"/>
    <w:qFormat/>
    <w:rPr>
      <w:rFonts w:ascii="Arial" w:hAnsi="Arial" w:eastAsia="Arial" w:cs="Arial"/>
      <w:b/>
      <w:bCs/>
      <w:sz w:val="22"/>
      <w:szCs w:val="22"/>
    </w:rPr>
  </w:style>
  <w:style w:type="character" w:styleId="701" w:customStyle="1">
    <w:name w:val="Heading 7 Char"/>
    <w:link w:val="669"/>
    <w:uiPriority w:val="9"/>
    <w:qFormat/>
    <w:rPr>
      <w:rFonts w:ascii="Arial" w:hAnsi="Arial" w:eastAsia="Arial" w:cs="Arial"/>
      <w:b/>
      <w:bCs/>
      <w:i/>
      <w:iCs/>
      <w:sz w:val="22"/>
      <w:szCs w:val="22"/>
    </w:rPr>
  </w:style>
  <w:style w:type="character" w:styleId="702" w:customStyle="1">
    <w:name w:val="Heading 8 Char"/>
    <w:link w:val="670"/>
    <w:uiPriority w:val="9"/>
    <w:qFormat/>
    <w:rPr>
      <w:rFonts w:ascii="Arial" w:hAnsi="Arial" w:eastAsia="Arial" w:cs="Arial"/>
      <w:i/>
      <w:iCs/>
      <w:sz w:val="22"/>
      <w:szCs w:val="22"/>
    </w:rPr>
  </w:style>
  <w:style w:type="character" w:styleId="703" w:customStyle="1">
    <w:name w:val="Heading 9 Char"/>
    <w:link w:val="671"/>
    <w:uiPriority w:val="9"/>
    <w:qFormat/>
    <w:rPr>
      <w:rFonts w:ascii="Arial" w:hAnsi="Arial" w:eastAsia="Arial" w:cs="Arial"/>
      <w:i/>
      <w:iCs/>
      <w:sz w:val="21"/>
      <w:szCs w:val="21"/>
    </w:rPr>
  </w:style>
  <w:style w:type="paragraph" w:styleId="704">
    <w:name w:val="List Paragraph"/>
    <w:basedOn w:val="662"/>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link w:val="690"/>
    <w:uiPriority w:val="10"/>
    <w:qFormat/>
    <w:rPr>
      <w:sz w:val="48"/>
      <w:szCs w:val="48"/>
    </w:rPr>
  </w:style>
  <w:style w:type="character" w:styleId="707" w:customStyle="1">
    <w:name w:val="Subtitle Char"/>
    <w:link w:val="684"/>
    <w:uiPriority w:val="11"/>
    <w:qFormat/>
    <w:rPr>
      <w:sz w:val="24"/>
      <w:szCs w:val="24"/>
    </w:rPr>
  </w:style>
  <w:style w:type="paragraph" w:styleId="708">
    <w:name w:val="Quote"/>
    <w:basedOn w:val="662"/>
    <w:next w:val="662"/>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62"/>
    <w:next w:val="6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link w:val="681"/>
    <w:uiPriority w:val="99"/>
    <w:qFormat/>
  </w:style>
  <w:style w:type="character" w:styleId="713" w:customStyle="1">
    <w:name w:val="Footer Char"/>
    <w:link w:val="680"/>
    <w:uiPriority w:val="99"/>
    <w:qFormat/>
  </w:style>
  <w:style w:type="character" w:styleId="714" w:customStyle="1">
    <w:name w:val="Caption Char"/>
    <w:link w:val="680"/>
    <w:uiPriority w:val="99"/>
    <w:qFormat/>
  </w:style>
  <w:style w:type="table" w:styleId="7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0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5"/>
    <w:uiPriority w:val="99"/>
    <w:rPr>
      <w:sz w:val="18"/>
    </w:rPr>
  </w:style>
  <w:style w:type="character" w:styleId="841" w:customStyle="1">
    <w:name w:val="Endnote Text Char"/>
    <w:link w:val="679"/>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662"/>
    <w:next w:val="662"/>
    <w:link w:val="851"/>
    <w:uiPriority w:val="9"/>
    <w:qFormat/>
    <w:pPr>
      <w:keepLines/>
      <w:keepNext/>
      <w:spacing w:before="340" w:after="330" w:line="578" w:lineRule="auto"/>
      <w:outlineLvl w:val="0"/>
    </w:pPr>
    <w:rPr>
      <w:b/>
      <w:bCs/>
      <w:sz w:val="44"/>
      <w:szCs w:val="44"/>
    </w:rPr>
  </w:style>
  <w:style w:type="paragraph" w:styleId="844" w:customStyle="1">
    <w:name w:val="标题 21"/>
    <w:basedOn w:val="662"/>
    <w:next w:val="662"/>
    <w:link w:val="85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5" w:customStyle="1">
    <w:name w:val="标题 31"/>
    <w:basedOn w:val="662"/>
    <w:next w:val="662"/>
    <w:link w:val="853"/>
    <w:uiPriority w:val="9"/>
    <w:qFormat/>
    <w:pPr>
      <w:keepLines/>
      <w:keepNext/>
      <w:spacing w:before="260" w:after="260" w:line="416" w:lineRule="auto"/>
      <w:outlineLvl w:val="2"/>
    </w:pPr>
    <w:rPr>
      <w:b/>
      <w:bCs/>
      <w:sz w:val="32"/>
      <w:szCs w:val="32"/>
    </w:rPr>
  </w:style>
  <w:style w:type="paragraph" w:styleId="846" w:customStyle="1">
    <w:name w:val="标题 41"/>
    <w:basedOn w:val="662"/>
    <w:next w:val="662"/>
    <w:uiPriority w:val="0"/>
    <w:qFormat/>
    <w:pPr>
      <w:numPr>
        <w:ilvl w:val="3"/>
        <w:numId w:val="1"/>
      </w:numPr>
      <w:ind w:left="0" w:firstLine="0"/>
      <w:spacing w:before="120" w:line="360" w:lineRule="auto"/>
      <w:tabs>
        <w:tab w:val="left" w:pos="2155" w:leader="none"/>
      </w:tabs>
      <w:outlineLvl w:val="3"/>
    </w:pPr>
    <w:rPr>
      <w:rFonts w:ascii="Arial" w:hAnsi="Times New Roman" w:eastAsia="黑体" w:cs="Times New Roman"/>
      <w:sz w:val="28"/>
      <w:szCs w:val="20"/>
    </w:rPr>
  </w:style>
  <w:style w:type="character" w:styleId="847" w:customStyle="1">
    <w:name w:val="默认段落字体1"/>
    <w:link w:val="662"/>
    <w:uiPriority w:val="1"/>
    <w:unhideWhenUsed/>
    <w:qFormat/>
  </w:style>
  <w:style w:type="table" w:styleId="848" w:customStyle="1">
    <w:name w:val="普通表格1"/>
    <w:uiPriority w:val="99"/>
    <w:unhideWhenUsed/>
    <w:qFormat/>
    <w:tblPr/>
  </w:style>
  <w:style w:type="paragraph" w:styleId="849" w:customStyle="1">
    <w:name w:val="正文首行缩进11"/>
    <w:basedOn w:val="850"/>
    <w:uiPriority w:val="0"/>
    <w:qFormat/>
    <w:pPr>
      <w:ind w:firstLine="200"/>
      <w:spacing w:line="360" w:lineRule="auto"/>
    </w:pPr>
    <w:rPr>
      <w:rFonts w:ascii="仿宋_GB2312" w:hAnsi="Times New Roman" w:eastAsia="仿宋_GB2312"/>
      <w:sz w:val="30"/>
      <w:szCs w:val="30"/>
    </w:rPr>
  </w:style>
  <w:style w:type="paragraph" w:styleId="850" w:customStyle="1">
    <w:name w:val="正文文本11"/>
    <w:basedOn w:val="662"/>
    <w:next w:val="662"/>
    <w:uiPriority w:val="0"/>
    <w:qFormat/>
    <w:rPr>
      <w:rFonts w:ascii="楷体_GB2312" w:hAnsi="Arial" w:eastAsia="楷体_GB2312"/>
      <w:sz w:val="28"/>
      <w:szCs w:val="28"/>
      <w:lang w:eastAsia="en-US"/>
    </w:rPr>
  </w:style>
  <w:style w:type="character" w:styleId="851" w:customStyle="1">
    <w:name w:val="标题 1 字符"/>
    <w:link w:val="843"/>
    <w:uiPriority w:val="9"/>
    <w:qFormat/>
    <w:rPr>
      <w:b/>
      <w:bCs/>
      <w:sz w:val="44"/>
      <w:szCs w:val="44"/>
    </w:rPr>
  </w:style>
  <w:style w:type="character" w:styleId="852" w:customStyle="1">
    <w:name w:val="标题 2 字符"/>
    <w:link w:val="844"/>
    <w:uiPriority w:val="9"/>
    <w:qFormat/>
    <w:rPr>
      <w:rFonts w:ascii="Cambria" w:hAnsi="Cambria" w:eastAsia="宋体" w:cs="Times New Roman"/>
      <w:b/>
      <w:bCs/>
      <w:sz w:val="32"/>
      <w:szCs w:val="32"/>
    </w:rPr>
  </w:style>
  <w:style w:type="character" w:styleId="853" w:customStyle="1">
    <w:name w:val="标题 3 字符"/>
    <w:link w:val="845"/>
    <w:uiPriority w:val="9"/>
    <w:qFormat/>
    <w:rPr>
      <w:b/>
      <w:bCs/>
      <w:sz w:val="32"/>
      <w:szCs w:val="32"/>
    </w:rPr>
  </w:style>
  <w:style w:type="paragraph" w:styleId="854" w:customStyle="1">
    <w:name w:val="题注1"/>
    <w:basedOn w:val="662"/>
    <w:next w:val="662"/>
    <w:uiPriority w:val="35"/>
    <w:qFormat/>
    <w:rPr>
      <w:rFonts w:ascii="Cambria" w:hAnsi="Cambria" w:eastAsia="黑体" w:cs="宋体"/>
      <w:sz w:val="20"/>
      <w:szCs w:val="20"/>
    </w:rPr>
  </w:style>
  <w:style w:type="paragraph" w:styleId="855" w:customStyle="1">
    <w:name w:val="文档结构图1"/>
    <w:basedOn w:val="662"/>
    <w:link w:val="856"/>
    <w:uiPriority w:val="99"/>
    <w:unhideWhenUsed/>
    <w:qFormat/>
    <w:rPr>
      <w:rFonts w:ascii="宋体" w:eastAsia="宋体"/>
      <w:sz w:val="18"/>
      <w:szCs w:val="18"/>
    </w:rPr>
  </w:style>
  <w:style w:type="character" w:styleId="856" w:customStyle="1">
    <w:name w:val="文档结构图 字符"/>
    <w:link w:val="855"/>
    <w:uiPriority w:val="99"/>
    <w:semiHidden/>
    <w:qFormat/>
    <w:rPr>
      <w:rFonts w:ascii="宋体" w:eastAsia="宋体"/>
      <w:sz w:val="18"/>
      <w:szCs w:val="18"/>
    </w:rPr>
  </w:style>
  <w:style w:type="paragraph" w:styleId="857" w:customStyle="1">
    <w:name w:val="批注文字1"/>
    <w:basedOn w:val="662"/>
    <w:link w:val="858"/>
    <w:uiPriority w:val="0"/>
    <w:qFormat/>
    <w:pPr>
      <w:ind w:firstLine="922"/>
      <w:jc w:val="left"/>
      <w:spacing w:line="360" w:lineRule="auto"/>
    </w:pPr>
    <w:rPr>
      <w:rFonts w:ascii="Times New Roman" w:hAnsi="Times New Roman" w:eastAsia="宋体" w:cs="Times New Roman"/>
      <w:szCs w:val="24"/>
    </w:rPr>
  </w:style>
  <w:style w:type="character" w:styleId="858" w:customStyle="1">
    <w:name w:val="批注文字 字符"/>
    <w:link w:val="857"/>
    <w:uiPriority w:val="0"/>
    <w:qFormat/>
    <w:rPr>
      <w:rFonts w:ascii="Times New Roman" w:hAnsi="Times New Roman" w:eastAsia="宋体" w:cs="Times New Roman"/>
      <w:szCs w:val="24"/>
    </w:rPr>
  </w:style>
  <w:style w:type="paragraph" w:styleId="859" w:customStyle="1">
    <w:name w:val="正文文本1"/>
    <w:basedOn w:val="662"/>
    <w:next w:val="662"/>
    <w:link w:val="860"/>
    <w:uiPriority w:val="0"/>
    <w:unhideWhenUsed/>
    <w:qFormat/>
    <w:pPr>
      <w:spacing w:after="120"/>
    </w:pPr>
    <w:rPr>
      <w:rFonts w:ascii="Calibri" w:hAnsi="Calibri" w:eastAsia="宋体" w:cs="Times New Roman"/>
    </w:rPr>
  </w:style>
  <w:style w:type="character" w:styleId="860" w:customStyle="1">
    <w:name w:val="正文文本 字符"/>
    <w:link w:val="859"/>
    <w:uiPriority w:val="0"/>
    <w:qFormat/>
    <w:rPr>
      <w:rFonts w:ascii="Calibri" w:hAnsi="Calibri" w:eastAsia="宋体" w:cs="Times New Roman"/>
    </w:rPr>
  </w:style>
  <w:style w:type="paragraph" w:styleId="861" w:customStyle="1">
    <w:name w:val="正文文本缩进1"/>
    <w:basedOn w:val="662"/>
    <w:link w:val="862"/>
    <w:uiPriority w:val="0"/>
    <w:qFormat/>
    <w:pPr>
      <w:ind w:left="420"/>
      <w:spacing w:after="120"/>
    </w:pPr>
    <w:rPr>
      <w:rFonts w:ascii="Times New Roman" w:hAnsi="Times New Roman" w:eastAsia="宋体" w:cs="Times New Roman"/>
      <w:szCs w:val="24"/>
    </w:rPr>
  </w:style>
  <w:style w:type="character" w:styleId="862" w:customStyle="1">
    <w:name w:val="正文文本缩进 字符"/>
    <w:link w:val="861"/>
    <w:uiPriority w:val="0"/>
    <w:qFormat/>
    <w:rPr>
      <w:rFonts w:ascii="Times New Roman" w:hAnsi="Times New Roman" w:eastAsia="宋体" w:cs="Times New Roman"/>
      <w:szCs w:val="24"/>
    </w:rPr>
  </w:style>
  <w:style w:type="paragraph" w:styleId="863" w:customStyle="1">
    <w:name w:val="纯文本1"/>
    <w:basedOn w:val="662"/>
    <w:link w:val="864"/>
    <w:uiPriority w:val="0"/>
    <w:qFormat/>
    <w:rPr>
      <w:rFonts w:ascii="宋体" w:hAnsi="Courier New" w:eastAsia="宋体" w:cs="Courier New"/>
      <w:szCs w:val="21"/>
    </w:rPr>
  </w:style>
  <w:style w:type="character" w:styleId="864" w:customStyle="1">
    <w:name w:val="纯文本 字符"/>
    <w:link w:val="863"/>
    <w:uiPriority w:val="0"/>
    <w:qFormat/>
    <w:rPr>
      <w:rFonts w:ascii="宋体" w:hAnsi="Courier New" w:eastAsia="宋体" w:cs="Courier New"/>
      <w:szCs w:val="21"/>
    </w:rPr>
  </w:style>
  <w:style w:type="paragraph" w:styleId="865" w:customStyle="1">
    <w:name w:val="日期1"/>
    <w:basedOn w:val="662"/>
    <w:next w:val="662"/>
    <w:link w:val="866"/>
    <w:uiPriority w:val="99"/>
    <w:unhideWhenUsed/>
    <w:qFormat/>
    <w:pPr>
      <w:ind w:left="100"/>
    </w:pPr>
  </w:style>
  <w:style w:type="character" w:styleId="866" w:customStyle="1">
    <w:name w:val="日期 字符"/>
    <w:link w:val="865"/>
    <w:uiPriority w:val="99"/>
    <w:semiHidden/>
    <w:qFormat/>
  </w:style>
  <w:style w:type="paragraph" w:styleId="867" w:customStyle="1">
    <w:name w:val="批注框文本1"/>
    <w:basedOn w:val="662"/>
    <w:link w:val="868"/>
    <w:uiPriority w:val="99"/>
    <w:unhideWhenUsed/>
    <w:qFormat/>
    <w:rPr>
      <w:sz w:val="18"/>
      <w:szCs w:val="18"/>
    </w:rPr>
  </w:style>
  <w:style w:type="character" w:styleId="868" w:customStyle="1">
    <w:name w:val="批注框文本 字符"/>
    <w:link w:val="867"/>
    <w:uiPriority w:val="99"/>
    <w:semiHidden/>
    <w:qFormat/>
    <w:rPr>
      <w:sz w:val="18"/>
      <w:szCs w:val="18"/>
    </w:rPr>
  </w:style>
  <w:style w:type="paragraph" w:styleId="869" w:customStyle="1">
    <w:name w:val="页脚1"/>
    <w:basedOn w:val="662"/>
    <w:link w:val="870"/>
    <w:uiPriority w:val="99"/>
    <w:unhideWhenUsed/>
    <w:qFormat/>
    <w:pPr>
      <w:jc w:val="left"/>
      <w:tabs>
        <w:tab w:val="center" w:pos="4153" w:leader="none"/>
        <w:tab w:val="right" w:pos="8306" w:leader="none"/>
      </w:tabs>
    </w:pPr>
    <w:rPr>
      <w:sz w:val="18"/>
      <w:szCs w:val="18"/>
    </w:rPr>
  </w:style>
  <w:style w:type="character" w:styleId="870" w:customStyle="1">
    <w:name w:val="页脚 字符"/>
    <w:link w:val="869"/>
    <w:uiPriority w:val="99"/>
    <w:qFormat/>
    <w:rPr>
      <w:sz w:val="18"/>
      <w:szCs w:val="18"/>
    </w:rPr>
  </w:style>
  <w:style w:type="paragraph" w:styleId="871" w:customStyle="1">
    <w:name w:val="页眉1"/>
    <w:basedOn w:val="662"/>
    <w:link w:val="8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2" w:customStyle="1">
    <w:name w:val="页眉 字符"/>
    <w:link w:val="871"/>
    <w:uiPriority w:val="99"/>
    <w:semiHidden/>
    <w:qFormat/>
    <w:rPr>
      <w:sz w:val="18"/>
      <w:szCs w:val="18"/>
    </w:rPr>
  </w:style>
  <w:style w:type="paragraph" w:styleId="873" w:customStyle="1">
    <w:name w:val="目录 11"/>
    <w:basedOn w:val="662"/>
    <w:next w:val="662"/>
    <w:uiPriority w:val="39"/>
    <w:unhideWhenUsed/>
    <w:qFormat/>
    <w:pPr>
      <w:jc w:val="center"/>
      <w:tabs>
        <w:tab w:val="right" w:pos="8296" w:leader="dot"/>
      </w:tabs>
    </w:pPr>
    <w:rPr>
      <w:rFonts w:ascii="黑体" w:hAnsi="黑体" w:eastAsia="黑体"/>
      <w:sz w:val="44"/>
      <w:szCs w:val="44"/>
    </w:rPr>
  </w:style>
  <w:style w:type="paragraph" w:styleId="874" w:customStyle="1">
    <w:name w:val="普通(网站)1"/>
    <w:basedOn w:val="662"/>
    <w:uiPriority w:val="99"/>
    <w:unhideWhenUsed/>
    <w:qFormat/>
    <w:rPr>
      <w:sz w:val="24"/>
    </w:rPr>
  </w:style>
  <w:style w:type="table" w:styleId="875" w:customStyle="1">
    <w:name w:val="网格型1"/>
    <w:basedOn w:val="848"/>
    <w:uiPriority w:val="59"/>
    <w:qFormat/>
    <w:tblPr/>
  </w:style>
  <w:style w:type="character" w:styleId="876" w:customStyle="1">
    <w:name w:val="要点1"/>
    <w:link w:val="662"/>
    <w:uiPriority w:val="22"/>
    <w:qFormat/>
    <w:rPr>
      <w:b/>
      <w:bCs/>
    </w:rPr>
  </w:style>
  <w:style w:type="character" w:styleId="877" w:customStyle="1">
    <w:name w:val="超链接1"/>
    <w:link w:val="662"/>
    <w:uiPriority w:val="99"/>
    <w:qFormat/>
    <w:rPr>
      <w:color w:val="0000ff"/>
      <w:u w:val="none"/>
    </w:rPr>
  </w:style>
  <w:style w:type="character" w:styleId="878" w:customStyle="1">
    <w:name w:val="批注引用1"/>
    <w:link w:val="662"/>
    <w:uiPriority w:val="0"/>
    <w:qFormat/>
    <w:rPr>
      <w:sz w:val="21"/>
      <w:szCs w:val="21"/>
    </w:rPr>
  </w:style>
  <w:style w:type="paragraph" w:styleId="8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0" w:customStyle="1">
    <w:name w:val="列出段落1"/>
    <w:basedOn w:val="662"/>
    <w:uiPriority w:val="0"/>
    <w:qFormat/>
    <w:pPr>
      <w:ind w:firstLine="420"/>
    </w:pPr>
    <w:rPr>
      <w:rFonts w:ascii="Times New Roman" w:hAnsi="Times New Roman" w:eastAsia="宋体" w:cs="Times New Roman"/>
      <w:szCs w:val="21"/>
    </w:rPr>
  </w:style>
  <w:style w:type="paragraph" w:styleId="881" w:customStyle="1">
    <w:name w:val="Default"/>
    <w:link w:val="882"/>
    <w:uiPriority w:val="0"/>
    <w:qFormat/>
    <w:pPr>
      <w:widowControl w:val="off"/>
    </w:pPr>
    <w:rPr>
      <w:rFonts w:hint="default" w:ascii="MS Mincho" w:hAnsi="Calibri" w:eastAsia="宋体" w:cs="Times New Roman"/>
      <w:color w:val="000000"/>
      <w:sz w:val="21"/>
      <w:szCs w:val="24"/>
      <w:lang w:val="en-US" w:eastAsia="zh-CN" w:bidi="ar-SA"/>
    </w:rPr>
  </w:style>
  <w:style w:type="character" w:styleId="882" w:customStyle="1">
    <w:name w:val="Default Char"/>
    <w:link w:val="881"/>
    <w:uiPriority w:val="99"/>
    <w:qFormat/>
    <w:rPr>
      <w:rFonts w:ascii="MS Mincho" w:hAnsi="Calibri"/>
      <w:color w:val="000000"/>
      <w:sz w:val="21"/>
      <w:szCs w:val="24"/>
    </w:rPr>
  </w:style>
  <w:style w:type="character" w:styleId="883" w:customStyle="1">
    <w:name w:val="font31"/>
    <w:link w:val="662"/>
    <w:uiPriority w:val="0"/>
    <w:qFormat/>
    <w:rPr>
      <w:rFonts w:hint="eastAsia" w:ascii="宋体" w:hAnsi="宋体" w:eastAsia="宋体" w:cs="宋体"/>
      <w:color w:val="000000"/>
      <w:sz w:val="18"/>
      <w:szCs w:val="18"/>
      <w:u w:val="none"/>
    </w:rPr>
  </w:style>
  <w:style w:type="character" w:styleId="884" w:customStyle="1">
    <w:name w:val="font21"/>
    <w:link w:val="662"/>
    <w:uiPriority w:val="0"/>
    <w:qFormat/>
    <w:rPr>
      <w:rFonts w:hint="eastAsia" w:ascii="宋体" w:hAnsi="宋体" w:eastAsia="宋体" w:cs="宋体"/>
      <w:color w:val="000000"/>
      <w:sz w:val="18"/>
      <w:szCs w:val="18"/>
      <w:u w:val="none"/>
    </w:rPr>
  </w:style>
  <w:style w:type="character" w:styleId="885" w:customStyle="1">
    <w:name w:val="font41"/>
    <w:link w:val="662"/>
    <w:uiPriority w:val="0"/>
    <w:qFormat/>
    <w:rPr>
      <w:rFonts w:hint="eastAsia" w:ascii="宋体" w:hAnsi="宋体" w:eastAsia="宋体" w:cs="宋体"/>
      <w:color w:val="000000"/>
      <w:sz w:val="18"/>
      <w:szCs w:val="18"/>
      <w:u w:val="none"/>
    </w:rPr>
  </w:style>
  <w:style w:type="paragraph" w:styleId="886" w:customStyle="1">
    <w:name w:val="列表段落"/>
    <w:basedOn w:val="662"/>
    <w:link w:val="887"/>
    <w:uiPriority w:val="34"/>
    <w:qFormat/>
    <w:pPr>
      <w:ind w:firstLine="420"/>
    </w:pPr>
    <w:rPr>
      <w:rFonts w:eastAsia="微软雅黑" w:cs="宋体"/>
      <w:sz w:val="24"/>
      <w:szCs w:val="20"/>
      <w:lang w:val="zh-CN"/>
    </w:rPr>
  </w:style>
  <w:style w:type="character" w:styleId="887" w:customStyle="1">
    <w:name w:val="列表段落 字符"/>
    <w:link w:val="886"/>
    <w:uiPriority w:val="34"/>
    <w:qFormat/>
    <w:rPr>
      <w:rFonts w:ascii="Calibri" w:hAnsi="Calibri" w:eastAsia="微软雅黑" w:cs="宋体"/>
      <w:sz w:val="24"/>
      <w:lang w:val="zh-CN"/>
    </w:rPr>
  </w:style>
  <w:style w:type="paragraph" w:styleId="888" w:customStyle="1">
    <w:name w:val="红色项目编号"/>
    <w:basedOn w:val="662"/>
    <w:uiPriority w:val="0"/>
    <w:qFormat/>
    <w:pPr>
      <w:numPr>
        <w:ilvl w:val="0"/>
        <w:numId w:val="2"/>
      </w:numPr>
      <w:spacing w:line="312" w:lineRule="auto"/>
    </w:pPr>
    <w:rPr>
      <w:rFonts w:hint="eastAsia" w:ascii="宋体" w:hAnsi="宋体" w:cs="宋体"/>
      <w:color w:val="ff0000"/>
      <w:sz w:val="24"/>
      <w:szCs w:val="24"/>
      <w:lang w:val="zh-CN"/>
    </w:rPr>
  </w:style>
  <w:style w:type="paragraph" w:styleId="889" w:customStyle="1">
    <w:name w:val="蓝色项目编号"/>
    <w:basedOn w:val="662"/>
    <w:uiPriority w:val="0"/>
    <w:qFormat/>
    <w:pPr>
      <w:numPr>
        <w:ilvl w:val="0"/>
        <w:numId w:val="3"/>
      </w:numPr>
      <w:ind w:left="425" w:hanging="425"/>
      <w:spacing w:line="312" w:lineRule="auto"/>
    </w:pPr>
    <w:rPr>
      <w:rFonts w:hint="eastAsia" w:ascii="宋体" w:hAnsi="宋体" w:cs="宋体"/>
      <w:color w:val="00b0f0"/>
      <w:sz w:val="24"/>
      <w:szCs w:val="24"/>
      <w:lang w:val="zh-CN"/>
    </w:rPr>
  </w:style>
  <w:style w:type="paragraph" w:styleId="890" w:customStyle="1">
    <w:name w:val="黑色文字段落"/>
    <w:basedOn w:val="662"/>
    <w:uiPriority w:val="0"/>
    <w:qFormat/>
    <w:pPr>
      <w:numPr>
        <w:ilvl w:val="0"/>
        <w:numId w:val="4"/>
      </w:numPr>
      <w:spacing w:line="312" w:lineRule="auto"/>
    </w:pPr>
    <w:rPr>
      <w:rFonts w:hint="eastAsia" w:ascii="宋体" w:hAnsi="宋体" w:cs="宋体"/>
      <w:sz w:val="24"/>
      <w:szCs w:val="24"/>
    </w:rPr>
  </w:style>
  <w:style w:type="character" w:styleId="891" w:customStyle="1">
    <w:name w:val="批注文字 字符1"/>
    <w:link w:val="662"/>
    <w:uiPriority w:val="0"/>
    <w:qFormat/>
    <w:rPr>
      <w:rFonts w:ascii="Times New Roman" w:hAnsi="Times New Roman" w:eastAsia="宋体" w:cs="Times New Roman"/>
      <w:szCs w:val="24"/>
    </w:rPr>
  </w:style>
  <w:style w:type="character" w:styleId="892" w:customStyle="1">
    <w:name w:val="Song"/>
    <w:uiPriority w:val="0"/>
    <w:qFormat/>
    <w:rPr>
      <w:rFonts w:ascii="宋体" w:hAnsi="宋体" w:eastAsia="宋体"/>
    </w:rPr>
  </w:style>
  <w:style w:type="numbering" w:styleId="1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dc:creator>
  <cp:lastModifiedBy>孔庆阳</cp:lastModifiedBy>
  <cp:revision>10</cp:revision>
  <dcterms:created xsi:type="dcterms:W3CDTF">2025-11-20T01:33:00Z</dcterms:created>
  <dcterms:modified xsi:type="dcterms:W3CDTF">2025-11-28T02:59:34Z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eyJoZGlkIjoiYmExMTc3NTNhMjk5NDBkZWZiYTU1Mzc4MTAzMmVkMzciLCJ1c2VySWQiOiI1MjUwMzE0NzIifQ==</vt:lpwstr>
  </property>
  <property fmtid="{D5CDD505-2E9C-101B-9397-08002B2CF9AE}" pid="3" name="KSOProductBuildVer">
    <vt:lpwstr>2052-12.1.0.23542</vt:lpwstr>
  </property>
  <property fmtid="{D5CDD505-2E9C-101B-9397-08002B2CF9AE}" pid="4" name="ICV">
    <vt:lpwstr>137C77625CDE472D831EB6AF3A4CF447_12</vt:lpwstr>
  </property>
</Properties>
</file>